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DBF" w:rsidRPr="00AC7797" w:rsidRDefault="00D25DBF" w:rsidP="00670341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797">
        <w:rPr>
          <w:rFonts w:ascii="Times New Roman" w:hAnsi="Times New Roman" w:cs="Times New Roman"/>
          <w:b/>
          <w:sz w:val="28"/>
          <w:szCs w:val="28"/>
        </w:rPr>
        <w:t xml:space="preserve">И Н Ф О </w:t>
      </w:r>
      <w:proofErr w:type="gramStart"/>
      <w:r w:rsidRPr="00AC7797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C7797">
        <w:rPr>
          <w:rFonts w:ascii="Times New Roman" w:hAnsi="Times New Roman" w:cs="Times New Roman"/>
          <w:b/>
          <w:sz w:val="28"/>
          <w:szCs w:val="28"/>
        </w:rPr>
        <w:t xml:space="preserve"> М А Ц И Я</w:t>
      </w:r>
    </w:p>
    <w:p w:rsidR="00A66CD2" w:rsidRDefault="008234BF" w:rsidP="00670341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797">
        <w:rPr>
          <w:rFonts w:ascii="Times New Roman" w:hAnsi="Times New Roman" w:cs="Times New Roman"/>
          <w:b/>
          <w:sz w:val="28"/>
          <w:szCs w:val="28"/>
        </w:rPr>
        <w:t>о степени антитеррористической защищенности социально-значимых объектов и мест с массовым пребыванием людей</w:t>
      </w:r>
    </w:p>
    <w:p w:rsidR="00A66CD2" w:rsidRDefault="008234BF" w:rsidP="00670341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797">
        <w:rPr>
          <w:rFonts w:ascii="Times New Roman" w:hAnsi="Times New Roman" w:cs="Times New Roman"/>
          <w:b/>
          <w:sz w:val="28"/>
          <w:szCs w:val="28"/>
        </w:rPr>
        <w:t xml:space="preserve"> на территории городского округа город Нефтекамск </w:t>
      </w:r>
    </w:p>
    <w:p w:rsidR="00B12E6B" w:rsidRPr="00AC7797" w:rsidRDefault="008234BF" w:rsidP="00670341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797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237BB4" w:rsidRPr="00AC7797" w:rsidRDefault="00237BB4" w:rsidP="00670341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234BF" w:rsidRPr="00AC7797" w:rsidRDefault="008234BF" w:rsidP="00670341">
      <w:pPr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4BF" w:rsidRPr="00AC7797" w:rsidRDefault="008234BF" w:rsidP="00A86B09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7797">
        <w:rPr>
          <w:rFonts w:ascii="Times New Roman" w:hAnsi="Times New Roman" w:cs="Times New Roman"/>
          <w:sz w:val="28"/>
          <w:szCs w:val="28"/>
        </w:rPr>
        <w:t xml:space="preserve">В наши дни терроризм приобретает более современные формы </w:t>
      </w:r>
      <w:r w:rsidR="009D27D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C7797">
        <w:rPr>
          <w:rFonts w:ascii="Times New Roman" w:hAnsi="Times New Roman" w:cs="Times New Roman"/>
          <w:sz w:val="28"/>
          <w:szCs w:val="28"/>
        </w:rPr>
        <w:t xml:space="preserve">и принимает угрожающие масштабы. Он становится все более изощренным </w:t>
      </w:r>
      <w:r w:rsidR="009D27D1">
        <w:rPr>
          <w:rFonts w:ascii="Times New Roman" w:hAnsi="Times New Roman" w:cs="Times New Roman"/>
          <w:sz w:val="28"/>
          <w:szCs w:val="28"/>
        </w:rPr>
        <w:t xml:space="preserve">   </w:t>
      </w:r>
      <w:r w:rsidRPr="00AC7797">
        <w:rPr>
          <w:rFonts w:ascii="Times New Roman" w:hAnsi="Times New Roman" w:cs="Times New Roman"/>
          <w:sz w:val="28"/>
          <w:szCs w:val="28"/>
        </w:rPr>
        <w:t xml:space="preserve">и жестоким. Растет уровень финансовых возможностей и технической оснащенности террористических организаций. Террористы </w:t>
      </w:r>
      <w:r w:rsidR="00A66CD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AC7797">
        <w:rPr>
          <w:rFonts w:ascii="Times New Roman" w:hAnsi="Times New Roman" w:cs="Times New Roman"/>
          <w:sz w:val="28"/>
          <w:szCs w:val="28"/>
        </w:rPr>
        <w:t xml:space="preserve">не останавливаются ни перед чем и готовы применять для достижения своих целей любые средства. В связи с этим, перед специалистами, обеспечивающими выполнение комплекса антитеррористических мероприятий, возникают дополнительные задачи по выработке и принятию таких мер по противодействию терроризму, которые стали бы адекватны представляемой им угрозе, учитывали бы все многообразие форм </w:t>
      </w:r>
      <w:r w:rsidR="00A66CD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C7797">
        <w:rPr>
          <w:rFonts w:ascii="Times New Roman" w:hAnsi="Times New Roman" w:cs="Times New Roman"/>
          <w:sz w:val="28"/>
          <w:szCs w:val="28"/>
        </w:rPr>
        <w:t xml:space="preserve">его проявления. </w:t>
      </w:r>
    </w:p>
    <w:p w:rsidR="008234BF" w:rsidRPr="00AC7797" w:rsidRDefault="008234BF" w:rsidP="00A86B09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797">
        <w:rPr>
          <w:rFonts w:ascii="Times New Roman" w:hAnsi="Times New Roman" w:cs="Times New Roman"/>
          <w:sz w:val="28"/>
          <w:szCs w:val="28"/>
        </w:rPr>
        <w:t xml:space="preserve">Общую координацию деятельности, направленной на обеспечение безопасности и антитеррористической защищенности объектов социальной сферы, транспортной инфраструктуры, мест с массовым пребыванием людей осуществляет антитеррористическая комиссия </w:t>
      </w:r>
      <w:proofErr w:type="gramStart"/>
      <w:r w:rsidRPr="00AC779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C7797">
        <w:rPr>
          <w:rFonts w:ascii="Times New Roman" w:hAnsi="Times New Roman" w:cs="Times New Roman"/>
          <w:sz w:val="28"/>
          <w:szCs w:val="28"/>
        </w:rPr>
        <w:t>.</w:t>
      </w:r>
      <w:r w:rsidR="00AC7797" w:rsidRPr="00AC7797">
        <w:rPr>
          <w:rFonts w:ascii="Times New Roman" w:hAnsi="Times New Roman" w:cs="Times New Roman"/>
          <w:sz w:val="28"/>
          <w:szCs w:val="28"/>
        </w:rPr>
        <w:t xml:space="preserve"> </w:t>
      </w:r>
      <w:r w:rsidRPr="00AC7797">
        <w:rPr>
          <w:rFonts w:ascii="Times New Roman" w:hAnsi="Times New Roman" w:cs="Times New Roman"/>
          <w:sz w:val="28"/>
          <w:szCs w:val="28"/>
        </w:rPr>
        <w:t xml:space="preserve">Нефтекамск. </w:t>
      </w:r>
      <w:r w:rsidR="009D27D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AC7797">
        <w:rPr>
          <w:rFonts w:ascii="Times New Roman" w:hAnsi="Times New Roman" w:cs="Times New Roman"/>
          <w:sz w:val="28"/>
          <w:szCs w:val="28"/>
        </w:rPr>
        <w:t>Её деятельность способствует повышению уровня антитеррористической защищенности, как объектов муниципальной собственности, так и иных социально-значимых объектов, расположенных на территории города.</w:t>
      </w:r>
      <w:r w:rsidR="00746B53" w:rsidRPr="00AC7797">
        <w:rPr>
          <w:rFonts w:ascii="Times New Roman" w:hAnsi="Times New Roman" w:cs="Times New Roman"/>
          <w:sz w:val="28"/>
          <w:szCs w:val="28"/>
        </w:rPr>
        <w:t xml:space="preserve"> </w:t>
      </w:r>
      <w:r w:rsidR="009D27D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46B53" w:rsidRPr="00AC7797">
        <w:rPr>
          <w:rFonts w:ascii="Times New Roman" w:hAnsi="Times New Roman" w:cs="Times New Roman"/>
          <w:sz w:val="28"/>
          <w:szCs w:val="28"/>
        </w:rPr>
        <w:t xml:space="preserve">В состав антитеррористической комиссии входят должностные лица правоохранительных органов, муниципальных учреждений культуры, спорта, образования, гражданской защиты, Совета городского округа, а также заместители главы администрации. Председателем комиссии является глава администрации. </w:t>
      </w:r>
      <w:r w:rsidR="002A1157" w:rsidRPr="00AC7797">
        <w:rPr>
          <w:rFonts w:ascii="Times New Roman" w:hAnsi="Times New Roman" w:cs="Times New Roman"/>
          <w:sz w:val="28"/>
          <w:szCs w:val="28"/>
        </w:rPr>
        <w:t>Решение АТК г.</w:t>
      </w:r>
      <w:r w:rsidR="00D25DBF" w:rsidRPr="00AC7797">
        <w:rPr>
          <w:rFonts w:ascii="Times New Roman" w:hAnsi="Times New Roman" w:cs="Times New Roman"/>
          <w:sz w:val="28"/>
          <w:szCs w:val="28"/>
        </w:rPr>
        <w:t xml:space="preserve"> </w:t>
      </w:r>
      <w:r w:rsidR="002A1157" w:rsidRPr="00AC7797">
        <w:rPr>
          <w:rFonts w:ascii="Times New Roman" w:hAnsi="Times New Roman" w:cs="Times New Roman"/>
          <w:sz w:val="28"/>
          <w:szCs w:val="28"/>
        </w:rPr>
        <w:t xml:space="preserve">Нефтекамск от 27.02.2020 г. приняты функциональные обязанности каждого члена АТК в соответствии с его компетенциями. </w:t>
      </w:r>
    </w:p>
    <w:p w:rsidR="008234BF" w:rsidRPr="00AC7797" w:rsidRDefault="00746B53" w:rsidP="00A86B09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797">
        <w:rPr>
          <w:rFonts w:ascii="Times New Roman" w:hAnsi="Times New Roman" w:cs="Times New Roman"/>
          <w:sz w:val="28"/>
          <w:szCs w:val="28"/>
        </w:rPr>
        <w:t xml:space="preserve">К основным нормативным правовым актам, регламентирующим вопросы антитеррористической защищенности ММПЛ, относятся: </w:t>
      </w:r>
      <w:r w:rsidRPr="00AC7797">
        <w:rPr>
          <w:rFonts w:ascii="Times New Roman" w:hAnsi="Times New Roman" w:cs="Times New Roman"/>
          <w:sz w:val="28"/>
          <w:szCs w:val="28"/>
        </w:rPr>
        <w:sym w:font="Symbol" w:char="F02D"/>
      </w:r>
      <w:r w:rsidRPr="00AC7797">
        <w:rPr>
          <w:rFonts w:ascii="Times New Roman" w:hAnsi="Times New Roman" w:cs="Times New Roman"/>
          <w:sz w:val="28"/>
          <w:szCs w:val="28"/>
        </w:rPr>
        <w:t xml:space="preserve"> Конституция Российской Феде</w:t>
      </w:r>
      <w:r w:rsidR="00B81C6D" w:rsidRPr="00AC7797">
        <w:rPr>
          <w:rFonts w:ascii="Times New Roman" w:hAnsi="Times New Roman" w:cs="Times New Roman"/>
          <w:sz w:val="28"/>
          <w:szCs w:val="28"/>
        </w:rPr>
        <w:t>рации</w:t>
      </w:r>
      <w:r w:rsidRPr="00AC7797">
        <w:rPr>
          <w:rFonts w:ascii="Times New Roman" w:hAnsi="Times New Roman" w:cs="Times New Roman"/>
          <w:sz w:val="28"/>
          <w:szCs w:val="28"/>
        </w:rPr>
        <w:t xml:space="preserve">; </w:t>
      </w:r>
      <w:r w:rsidRPr="00AC7797">
        <w:rPr>
          <w:rFonts w:ascii="Times New Roman" w:hAnsi="Times New Roman" w:cs="Times New Roman"/>
          <w:sz w:val="28"/>
          <w:szCs w:val="28"/>
        </w:rPr>
        <w:sym w:font="Symbol" w:char="F02D"/>
      </w:r>
      <w:r w:rsidRPr="00AC7797">
        <w:rPr>
          <w:rFonts w:ascii="Times New Roman" w:hAnsi="Times New Roman" w:cs="Times New Roman"/>
          <w:sz w:val="28"/>
          <w:szCs w:val="28"/>
        </w:rPr>
        <w:t xml:space="preserve"> Федеральный закон от 27 декабря 2002 года № 184-ФЗ «О техническом регулировании»; </w:t>
      </w:r>
      <w:r w:rsidRPr="00AC7797">
        <w:rPr>
          <w:rFonts w:ascii="Times New Roman" w:hAnsi="Times New Roman" w:cs="Times New Roman"/>
          <w:sz w:val="28"/>
          <w:szCs w:val="28"/>
        </w:rPr>
        <w:sym w:font="Symbol" w:char="F02D"/>
      </w:r>
      <w:r w:rsidRPr="00AC7797">
        <w:rPr>
          <w:rFonts w:ascii="Times New Roman" w:hAnsi="Times New Roman" w:cs="Times New Roman"/>
          <w:sz w:val="28"/>
          <w:szCs w:val="28"/>
        </w:rPr>
        <w:t xml:space="preserve"> Федеральный закон от 6 октября 2003 года № 131-Ф3 «Об общих принципах организации местного самоуправления в Российской Федерации»; </w:t>
      </w:r>
      <w:r w:rsidRPr="00AC7797">
        <w:rPr>
          <w:rFonts w:ascii="Times New Roman" w:hAnsi="Times New Roman" w:cs="Times New Roman"/>
          <w:sz w:val="28"/>
          <w:szCs w:val="28"/>
        </w:rPr>
        <w:sym w:font="Symbol" w:char="F02D"/>
      </w:r>
      <w:r w:rsidRPr="00AC7797">
        <w:rPr>
          <w:rFonts w:ascii="Times New Roman" w:hAnsi="Times New Roman" w:cs="Times New Roman"/>
          <w:sz w:val="28"/>
          <w:szCs w:val="28"/>
        </w:rPr>
        <w:t xml:space="preserve"> Федеральный закон от 6 марта 2006 года № 35-Ф3 «О противодействии терроризму»; </w:t>
      </w:r>
      <w:r w:rsidRPr="00AC7797">
        <w:rPr>
          <w:rFonts w:ascii="Times New Roman" w:hAnsi="Times New Roman" w:cs="Times New Roman"/>
          <w:sz w:val="28"/>
          <w:szCs w:val="28"/>
        </w:rPr>
        <w:sym w:font="Symbol" w:char="F02D"/>
      </w:r>
      <w:r w:rsidRPr="00AC7797">
        <w:rPr>
          <w:rFonts w:ascii="Times New Roman" w:hAnsi="Times New Roman" w:cs="Times New Roman"/>
          <w:sz w:val="28"/>
          <w:szCs w:val="28"/>
        </w:rPr>
        <w:t xml:space="preserve"> Федеральный закон от 30 декабря 2009 года № 384-Ф3 «Технический регламент о безопасности зданий и сооружений»</w:t>
      </w:r>
      <w:r w:rsidR="00A86B09">
        <w:rPr>
          <w:rFonts w:ascii="Times New Roman" w:hAnsi="Times New Roman" w:cs="Times New Roman"/>
          <w:sz w:val="28"/>
          <w:szCs w:val="28"/>
        </w:rPr>
        <w:t>.</w:t>
      </w:r>
    </w:p>
    <w:p w:rsidR="008234BF" w:rsidRPr="00AC7797" w:rsidRDefault="00746B53" w:rsidP="00A86B09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C7797">
        <w:rPr>
          <w:rFonts w:ascii="Times New Roman" w:hAnsi="Times New Roman" w:cs="Times New Roman"/>
          <w:sz w:val="28"/>
          <w:szCs w:val="28"/>
        </w:rPr>
        <w:t xml:space="preserve">Основные критерии по определению перечня ММПЛ (далее – Перечень) содержатся в пункте 6 статьи 3 Федерального закона </w:t>
      </w:r>
      <w:r w:rsidR="00A66CD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AC7797">
        <w:rPr>
          <w:rFonts w:ascii="Times New Roman" w:hAnsi="Times New Roman" w:cs="Times New Roman"/>
          <w:sz w:val="28"/>
          <w:szCs w:val="28"/>
        </w:rPr>
        <w:t xml:space="preserve">«О противодействии терроризму», согласно которому под ММПЛ понимается территория общего пользования поселения или городского </w:t>
      </w:r>
      <w:r w:rsidRPr="00AC7797">
        <w:rPr>
          <w:rFonts w:ascii="Times New Roman" w:hAnsi="Times New Roman" w:cs="Times New Roman"/>
          <w:sz w:val="28"/>
          <w:szCs w:val="28"/>
        </w:rPr>
        <w:lastRenderedPageBreak/>
        <w:t xml:space="preserve">округа, либо специально отведённая территория за их пределами, либо место общего пользования в здании, строении, сооружении, на ином объекте, </w:t>
      </w:r>
      <w:r w:rsidR="00A66CD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C7797">
        <w:rPr>
          <w:rFonts w:ascii="Times New Roman" w:hAnsi="Times New Roman" w:cs="Times New Roman"/>
          <w:sz w:val="28"/>
          <w:szCs w:val="28"/>
        </w:rPr>
        <w:t>на которых при определенных условиях может одновременно находиться более пятидесяти человек</w:t>
      </w:r>
      <w:proofErr w:type="gramEnd"/>
      <w:r w:rsidRPr="00AC7797">
        <w:rPr>
          <w:rFonts w:ascii="Times New Roman" w:hAnsi="Times New Roman" w:cs="Times New Roman"/>
          <w:sz w:val="28"/>
          <w:szCs w:val="28"/>
        </w:rPr>
        <w:t xml:space="preserve">. При этом территория иных муниципальных образований, сформированных в соответствии с Федеральным законом «Об общих принципах организации местного самоуправления в Российской Федерации» (муниципальный район, городской округ с внутригородским делением, внутригородской район, внутригородская территория города федерального значения), в названном пункте не указана. Учитывая, что </w:t>
      </w:r>
      <w:r w:rsidR="009D27D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C7797">
        <w:rPr>
          <w:rFonts w:ascii="Times New Roman" w:hAnsi="Times New Roman" w:cs="Times New Roman"/>
          <w:sz w:val="28"/>
          <w:szCs w:val="28"/>
        </w:rPr>
        <w:t>в данном понятии используется словосочетание «при определенных условиях», не каждое общественное место или место общего пользования, площадь которого позволяет разместить более 50 человек, может включаться в перечень ММПЛ.</w:t>
      </w:r>
    </w:p>
    <w:p w:rsidR="00703DAA" w:rsidRPr="00AC7797" w:rsidRDefault="00746B53" w:rsidP="00A86B09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7797">
        <w:rPr>
          <w:rFonts w:ascii="Times New Roman" w:hAnsi="Times New Roman" w:cs="Times New Roman"/>
          <w:sz w:val="28"/>
          <w:szCs w:val="28"/>
        </w:rPr>
        <w:t>В нормативных правовых актах содержание формулировки «определенные условия» не раскрывается. Между тем АТК г.</w:t>
      </w:r>
      <w:r w:rsidR="00D25DBF" w:rsidRPr="00AC7797">
        <w:rPr>
          <w:rFonts w:ascii="Times New Roman" w:hAnsi="Times New Roman" w:cs="Times New Roman"/>
          <w:sz w:val="28"/>
          <w:szCs w:val="28"/>
        </w:rPr>
        <w:t xml:space="preserve"> </w:t>
      </w:r>
      <w:r w:rsidRPr="00AC7797">
        <w:rPr>
          <w:rFonts w:ascii="Times New Roman" w:hAnsi="Times New Roman" w:cs="Times New Roman"/>
          <w:sz w:val="28"/>
          <w:szCs w:val="28"/>
        </w:rPr>
        <w:t>Нефтекамск</w:t>
      </w:r>
      <w:r w:rsidR="00703DAA" w:rsidRPr="00AC7797">
        <w:rPr>
          <w:rFonts w:ascii="Times New Roman" w:hAnsi="Times New Roman" w:cs="Times New Roman"/>
          <w:sz w:val="28"/>
          <w:szCs w:val="28"/>
        </w:rPr>
        <w:t>,</w:t>
      </w:r>
      <w:r w:rsidRPr="00AC7797">
        <w:rPr>
          <w:rFonts w:ascii="Times New Roman" w:hAnsi="Times New Roman" w:cs="Times New Roman"/>
          <w:sz w:val="28"/>
          <w:szCs w:val="28"/>
        </w:rPr>
        <w:t xml:space="preserve"> при формировании перечня ММПЛ</w:t>
      </w:r>
      <w:r w:rsidR="00703DAA" w:rsidRPr="00AC7797">
        <w:rPr>
          <w:rFonts w:ascii="Times New Roman" w:hAnsi="Times New Roman" w:cs="Times New Roman"/>
          <w:sz w:val="28"/>
          <w:szCs w:val="28"/>
        </w:rPr>
        <w:t>,</w:t>
      </w:r>
      <w:r w:rsidRPr="00AC7797">
        <w:rPr>
          <w:rFonts w:ascii="Times New Roman" w:hAnsi="Times New Roman" w:cs="Times New Roman"/>
          <w:sz w:val="28"/>
          <w:szCs w:val="28"/>
        </w:rPr>
        <w:t xml:space="preserve"> к данным условиям относят, например, время суток и (или) </w:t>
      </w:r>
      <w:r w:rsidR="00703DAA" w:rsidRPr="00AC7797">
        <w:rPr>
          <w:rFonts w:ascii="Times New Roman" w:hAnsi="Times New Roman" w:cs="Times New Roman"/>
          <w:sz w:val="28"/>
          <w:szCs w:val="28"/>
        </w:rPr>
        <w:t>года, выходной или праздничный</w:t>
      </w:r>
      <w:r w:rsidRPr="00AC7797">
        <w:rPr>
          <w:rFonts w:ascii="Times New Roman" w:hAnsi="Times New Roman" w:cs="Times New Roman"/>
          <w:sz w:val="28"/>
          <w:szCs w:val="28"/>
        </w:rPr>
        <w:t xml:space="preserve"> день, торжественное мероприятие и иные условия, при соблюдении которых на территории </w:t>
      </w:r>
      <w:r w:rsidR="009D27D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C7797">
        <w:rPr>
          <w:rFonts w:ascii="Times New Roman" w:hAnsi="Times New Roman" w:cs="Times New Roman"/>
          <w:sz w:val="28"/>
          <w:szCs w:val="28"/>
        </w:rPr>
        <w:t>(в месте) возможно нахождение людей числом более 50. При этом данные условия важны также для определения требований, которыми следует руководствоваться при осуществлении антитеррористической защищенности. Например, если в лесопарковой зоне еженедельно проходят массовые оздоровительные пробежки граждан,</w:t>
      </w:r>
      <w:r w:rsidR="00703DAA" w:rsidRPr="00AC7797">
        <w:rPr>
          <w:rFonts w:ascii="Times New Roman" w:hAnsi="Times New Roman" w:cs="Times New Roman"/>
          <w:sz w:val="28"/>
          <w:szCs w:val="28"/>
        </w:rPr>
        <w:t xml:space="preserve"> </w:t>
      </w:r>
      <w:r w:rsidR="00A86B09">
        <w:rPr>
          <w:rFonts w:ascii="Times New Roman" w:hAnsi="Times New Roman" w:cs="Times New Roman"/>
          <w:sz w:val="28"/>
          <w:szCs w:val="28"/>
        </w:rPr>
        <w:t xml:space="preserve">если </w:t>
      </w:r>
      <w:r w:rsidR="00703DAA" w:rsidRPr="00AC7797">
        <w:rPr>
          <w:rFonts w:ascii="Times New Roman" w:hAnsi="Times New Roman" w:cs="Times New Roman"/>
          <w:sz w:val="28"/>
          <w:szCs w:val="28"/>
        </w:rPr>
        <w:t xml:space="preserve">данное место </w:t>
      </w:r>
      <w:r w:rsidR="009D27D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03DAA" w:rsidRPr="00AC7797">
        <w:rPr>
          <w:rFonts w:ascii="Times New Roman" w:hAnsi="Times New Roman" w:cs="Times New Roman"/>
          <w:sz w:val="28"/>
          <w:szCs w:val="28"/>
        </w:rPr>
        <w:t>на постоянной основе посещают более 50 человек</w:t>
      </w:r>
      <w:r w:rsidR="00A86B09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703DAA" w:rsidRPr="00AC7797">
        <w:rPr>
          <w:rFonts w:ascii="Times New Roman" w:hAnsi="Times New Roman" w:cs="Times New Roman"/>
          <w:sz w:val="28"/>
          <w:szCs w:val="28"/>
        </w:rPr>
        <w:t xml:space="preserve"> то место следует включать в Перечень со всеми вытекающими последствиями. Обновленная </w:t>
      </w:r>
      <w:r w:rsidR="002A1157" w:rsidRPr="00AC7797">
        <w:rPr>
          <w:rFonts w:ascii="Times New Roman" w:hAnsi="Times New Roman" w:cs="Times New Roman"/>
          <w:sz w:val="28"/>
          <w:szCs w:val="28"/>
        </w:rPr>
        <w:t>Т</w:t>
      </w:r>
      <w:r w:rsidR="00703DAA" w:rsidRPr="00AC7797">
        <w:rPr>
          <w:rFonts w:ascii="Times New Roman" w:hAnsi="Times New Roman" w:cs="Times New Roman"/>
          <w:sz w:val="28"/>
          <w:szCs w:val="28"/>
        </w:rPr>
        <w:t>ропа здоровья, с учетом новых и планируемых дорожек была включен</w:t>
      </w:r>
      <w:r w:rsidR="00387793" w:rsidRPr="00AC7797">
        <w:rPr>
          <w:rFonts w:ascii="Times New Roman" w:hAnsi="Times New Roman" w:cs="Times New Roman"/>
          <w:sz w:val="28"/>
          <w:szCs w:val="28"/>
        </w:rPr>
        <w:t>а</w:t>
      </w:r>
      <w:r w:rsidR="00703DAA" w:rsidRPr="00AC7797">
        <w:rPr>
          <w:rFonts w:ascii="Times New Roman" w:hAnsi="Times New Roman" w:cs="Times New Roman"/>
          <w:sz w:val="28"/>
          <w:szCs w:val="28"/>
        </w:rPr>
        <w:t xml:space="preserve"> </w:t>
      </w:r>
      <w:r w:rsidR="009D27D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03DAA" w:rsidRPr="00AC7797">
        <w:rPr>
          <w:rFonts w:ascii="Times New Roman" w:hAnsi="Times New Roman" w:cs="Times New Roman"/>
          <w:sz w:val="28"/>
          <w:szCs w:val="28"/>
        </w:rPr>
        <w:t>в Перечень</w:t>
      </w:r>
      <w:r w:rsidR="00275D4B" w:rsidRPr="00AC7797">
        <w:rPr>
          <w:rFonts w:ascii="Times New Roman" w:hAnsi="Times New Roman" w:cs="Times New Roman"/>
          <w:sz w:val="28"/>
          <w:szCs w:val="28"/>
        </w:rPr>
        <w:t xml:space="preserve"> ММПЛ членами АТК г.</w:t>
      </w:r>
      <w:r w:rsidR="00D25DBF" w:rsidRPr="00AC7797">
        <w:rPr>
          <w:rFonts w:ascii="Times New Roman" w:hAnsi="Times New Roman" w:cs="Times New Roman"/>
          <w:sz w:val="28"/>
          <w:szCs w:val="28"/>
        </w:rPr>
        <w:t xml:space="preserve"> </w:t>
      </w:r>
      <w:r w:rsidR="00275D4B" w:rsidRPr="00AC7797">
        <w:rPr>
          <w:rFonts w:ascii="Times New Roman" w:hAnsi="Times New Roman" w:cs="Times New Roman"/>
          <w:sz w:val="28"/>
          <w:szCs w:val="28"/>
        </w:rPr>
        <w:t>Нефтекамск в конце 2019 года.</w:t>
      </w:r>
    </w:p>
    <w:p w:rsidR="00275D4B" w:rsidRPr="00AC7797" w:rsidRDefault="00275D4B" w:rsidP="00A86B09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7797">
        <w:rPr>
          <w:rFonts w:ascii="Times New Roman" w:hAnsi="Times New Roman" w:cs="Times New Roman"/>
          <w:sz w:val="28"/>
          <w:szCs w:val="28"/>
        </w:rPr>
        <w:t xml:space="preserve">По аналогии с Тропой здоровья в Перечень ММПЛ также включена территория Парка культуры и отдыха. На указанной территории при определенных условиях (праздники, спортивные, культурные и иные массовые мероприятия) может одновременно находится более 50 человек. </w:t>
      </w:r>
    </w:p>
    <w:p w:rsidR="008234BF" w:rsidRPr="00AC7797" w:rsidRDefault="00746B53" w:rsidP="00A86B09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797">
        <w:rPr>
          <w:rFonts w:ascii="Times New Roman" w:hAnsi="Times New Roman" w:cs="Times New Roman"/>
          <w:sz w:val="28"/>
          <w:szCs w:val="28"/>
        </w:rPr>
        <w:t xml:space="preserve">В Перечень не включаются также территории (места), на которых при определенных условиях может одновременно находиться более пятидесяти человек, но </w:t>
      </w:r>
      <w:proofErr w:type="gramStart"/>
      <w:r w:rsidRPr="00AC7797">
        <w:rPr>
          <w:rFonts w:ascii="Times New Roman" w:hAnsi="Times New Roman" w:cs="Times New Roman"/>
          <w:sz w:val="28"/>
          <w:szCs w:val="28"/>
        </w:rPr>
        <w:t>правообладателями</w:t>
      </w:r>
      <w:proofErr w:type="gramEnd"/>
      <w:r w:rsidRPr="00AC7797">
        <w:rPr>
          <w:rFonts w:ascii="Times New Roman" w:hAnsi="Times New Roman" w:cs="Times New Roman"/>
          <w:sz w:val="28"/>
          <w:szCs w:val="28"/>
        </w:rPr>
        <w:t xml:space="preserve"> которых являются федеральные органы исполнительной власти и Государственная корпорация по атомной энергии «</w:t>
      </w:r>
      <w:proofErr w:type="spellStart"/>
      <w:r w:rsidRPr="00AC7797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Pr="00AC7797">
        <w:rPr>
          <w:rFonts w:ascii="Times New Roman" w:hAnsi="Times New Roman" w:cs="Times New Roman"/>
          <w:sz w:val="28"/>
          <w:szCs w:val="28"/>
        </w:rPr>
        <w:t>» или которые относятся к сфере их деятельности, предполагающей использование территории (места), подлежащего антитеррористической защите (например, школы, поликлиники, больницы, дошкольные детские учреждения, объекты спорта, театры, концертные залы), а также объекты (территории) подлежащие обязательной охране полицией.</w:t>
      </w:r>
    </w:p>
    <w:p w:rsidR="008234BF" w:rsidRPr="00AC7797" w:rsidRDefault="00387793" w:rsidP="00A86B09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7797">
        <w:rPr>
          <w:rFonts w:ascii="Times New Roman" w:hAnsi="Times New Roman" w:cs="Times New Roman"/>
          <w:sz w:val="28"/>
          <w:szCs w:val="28"/>
        </w:rPr>
        <w:t xml:space="preserve">В отношении таких территорий (мест) действуют положения иных нормативных правовых актов. Например, в соответствии с пунктом 4 части </w:t>
      </w:r>
      <w:r w:rsidR="00A66CD2">
        <w:rPr>
          <w:rFonts w:ascii="Times New Roman" w:hAnsi="Times New Roman" w:cs="Times New Roman"/>
          <w:sz w:val="28"/>
          <w:szCs w:val="28"/>
        </w:rPr>
        <w:t xml:space="preserve">    </w:t>
      </w:r>
      <w:r w:rsidRPr="00AC7797">
        <w:rPr>
          <w:rFonts w:ascii="Times New Roman" w:hAnsi="Times New Roman" w:cs="Times New Roman"/>
          <w:sz w:val="28"/>
          <w:szCs w:val="28"/>
        </w:rPr>
        <w:t>2 статьи 5 Федерального закона «О противодействии терроризму», утверждены требования к антитеррористической защищенности объектов</w:t>
      </w:r>
      <w:r w:rsidR="00275D4B" w:rsidRPr="00AC7797">
        <w:rPr>
          <w:rFonts w:ascii="Times New Roman" w:hAnsi="Times New Roman" w:cs="Times New Roman"/>
          <w:sz w:val="28"/>
          <w:szCs w:val="28"/>
        </w:rPr>
        <w:t>.</w:t>
      </w:r>
    </w:p>
    <w:p w:rsidR="00275D4B" w:rsidRPr="00AC7797" w:rsidRDefault="00275D4B" w:rsidP="00A86B09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7797">
        <w:rPr>
          <w:rFonts w:ascii="Times New Roman" w:hAnsi="Times New Roman" w:cs="Times New Roman"/>
          <w:sz w:val="28"/>
          <w:szCs w:val="28"/>
        </w:rPr>
        <w:t>Так в области обеспечения антитерро</w:t>
      </w:r>
      <w:r w:rsidR="00186E29" w:rsidRPr="00AC7797">
        <w:rPr>
          <w:rFonts w:ascii="Times New Roman" w:hAnsi="Times New Roman" w:cs="Times New Roman"/>
          <w:sz w:val="28"/>
          <w:szCs w:val="28"/>
        </w:rPr>
        <w:t>ри</w:t>
      </w:r>
      <w:r w:rsidRPr="00AC7797">
        <w:rPr>
          <w:rFonts w:ascii="Times New Roman" w:hAnsi="Times New Roman" w:cs="Times New Roman"/>
          <w:sz w:val="28"/>
          <w:szCs w:val="28"/>
        </w:rPr>
        <w:t xml:space="preserve">стической защищенности социально-значимых объектов действующих на территории городского округа следует выделить: </w:t>
      </w:r>
    </w:p>
    <w:p w:rsidR="00275D4B" w:rsidRPr="00AC7797" w:rsidRDefault="00275D4B" w:rsidP="00A86B09">
      <w:pPr>
        <w:spacing w:after="0" w:line="240" w:lineRule="auto"/>
        <w:ind w:right="-1" w:firstLine="709"/>
        <w:contextualSpacing/>
        <w:jc w:val="both"/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  <w:r w:rsidRPr="00AC7797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Постановление Правительства РФ от 11 февраля 2017 г. </w:t>
      </w:r>
      <w:r w:rsidR="00AC7797" w:rsidRPr="00AC7797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№</w:t>
      </w:r>
      <w:r w:rsidRPr="00AC7797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 176 </w:t>
      </w:r>
      <w:r w:rsidR="00A66CD2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          </w:t>
      </w:r>
      <w:r w:rsidRPr="00AC7797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"Об утверждении требований к антитеррористической защищенности объектов (территорий) в сфере культуры и формы паспорта безопасности этих объектов (территорий)"</w:t>
      </w:r>
      <w:r w:rsidR="00186E29" w:rsidRPr="00AC7797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 устанавливающий требования к объектам культуры.</w:t>
      </w:r>
    </w:p>
    <w:p w:rsidR="00186E29" w:rsidRPr="00AC7797" w:rsidRDefault="00186E29" w:rsidP="00A86B09">
      <w:pPr>
        <w:spacing w:after="0" w:line="240" w:lineRule="auto"/>
        <w:ind w:right="-1" w:firstLine="709"/>
        <w:contextualSpacing/>
        <w:jc w:val="both"/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  <w:r w:rsidRPr="00AC7797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Постановление Правительства РФ от 13 января 2017 г. </w:t>
      </w:r>
      <w:r w:rsidR="00AC7797" w:rsidRPr="00AC7797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№</w:t>
      </w:r>
      <w:r w:rsidRPr="00AC7797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8 </w:t>
      </w:r>
      <w:r w:rsidR="00A66CD2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               </w:t>
      </w:r>
      <w:r w:rsidRPr="00AC7797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"Об утверждении требований к антитеррористической защищенности объектов (территорий) Министерства здравоохранения Российской Федерации и объектов (территорий), относящихся к сфере деятельности Министерства здравоохранения Российской Федерации, и формы паспорта безопасности этих объектов (территорий)" </w:t>
      </w:r>
      <w:r w:rsidRPr="00AC7797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устанавливающий требования </w:t>
      </w:r>
      <w:r w:rsidR="00A66CD2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          </w:t>
      </w:r>
      <w:r w:rsidRPr="00AC7797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к объектам здравоохранения. </w:t>
      </w:r>
    </w:p>
    <w:p w:rsidR="00186E29" w:rsidRPr="00AC7797" w:rsidRDefault="00186E29" w:rsidP="00A86B09">
      <w:pPr>
        <w:spacing w:after="0" w:line="240" w:lineRule="auto"/>
        <w:ind w:right="-1" w:firstLine="709"/>
        <w:contextualSpacing/>
        <w:jc w:val="both"/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AC7797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Постановление Правительства РФ от 6 марта 2015 г. </w:t>
      </w:r>
      <w:r w:rsidR="00A66CD2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№</w:t>
      </w:r>
      <w:r w:rsidRPr="00AC7797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202 "Об утверждении требований к антитеррористической защищенности объектов спорта и формы паспорта безопасности объектов спорта" устанавливающий требования соответственно к объектам спорта. </w:t>
      </w:r>
    </w:p>
    <w:p w:rsidR="001255CA" w:rsidRPr="00AC7797" w:rsidRDefault="001255CA" w:rsidP="00A86B09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C7797">
        <w:rPr>
          <w:rFonts w:ascii="Times New Roman" w:hAnsi="Times New Roman" w:cs="Times New Roman"/>
          <w:color w:val="auto"/>
          <w:sz w:val="28"/>
          <w:szCs w:val="28"/>
        </w:rPr>
        <w:t xml:space="preserve">Постановление Правительства РФ от 2 августа 2019 г. </w:t>
      </w:r>
      <w:r w:rsidR="009D27D1"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Pr="00AC7797">
        <w:rPr>
          <w:rFonts w:ascii="Times New Roman" w:hAnsi="Times New Roman" w:cs="Times New Roman"/>
          <w:color w:val="auto"/>
          <w:sz w:val="28"/>
          <w:szCs w:val="28"/>
        </w:rPr>
        <w:t> 1006</w:t>
      </w:r>
      <w:r w:rsidRPr="00AC7797">
        <w:rPr>
          <w:rFonts w:ascii="Times New Roman" w:hAnsi="Times New Roman" w:cs="Times New Roman"/>
          <w:color w:val="auto"/>
          <w:sz w:val="28"/>
          <w:szCs w:val="28"/>
        </w:rPr>
        <w:br/>
        <w:t xml:space="preserve">"Об утверждении требований к антитеррористической защищенности объектов (территорий) Министерства просвещения Российской Федерации </w:t>
      </w:r>
      <w:r w:rsidR="009D27D1">
        <w:rPr>
          <w:rFonts w:ascii="Times New Roman" w:hAnsi="Times New Roman" w:cs="Times New Roman"/>
          <w:color w:val="auto"/>
          <w:sz w:val="28"/>
          <w:szCs w:val="28"/>
        </w:rPr>
        <w:t xml:space="preserve">       </w:t>
      </w:r>
      <w:r w:rsidRPr="00AC7797">
        <w:rPr>
          <w:rFonts w:ascii="Times New Roman" w:hAnsi="Times New Roman" w:cs="Times New Roman"/>
          <w:color w:val="auto"/>
          <w:sz w:val="28"/>
          <w:szCs w:val="28"/>
        </w:rPr>
        <w:t xml:space="preserve">и объектов (территорий), относящихся к сфере деятельности Министерства просвещения Российской Федерации, и формы паспорта безопасности этих объектов (территорий)" устанавливающий </w:t>
      </w:r>
      <w:r w:rsidR="004E14FA" w:rsidRPr="00AC7797">
        <w:rPr>
          <w:rFonts w:ascii="Times New Roman" w:hAnsi="Times New Roman" w:cs="Times New Roman"/>
          <w:color w:val="auto"/>
          <w:sz w:val="28"/>
          <w:szCs w:val="28"/>
        </w:rPr>
        <w:t>требования</w:t>
      </w:r>
      <w:r w:rsidRPr="00AC7797">
        <w:rPr>
          <w:rFonts w:ascii="Times New Roman" w:hAnsi="Times New Roman" w:cs="Times New Roman"/>
          <w:color w:val="auto"/>
          <w:sz w:val="28"/>
          <w:szCs w:val="28"/>
        </w:rPr>
        <w:t xml:space="preserve"> к объектам образования.</w:t>
      </w:r>
    </w:p>
    <w:p w:rsidR="001255CA" w:rsidRPr="00AC7797" w:rsidRDefault="001255CA" w:rsidP="00A86B09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4BF" w:rsidRPr="00AC7797" w:rsidRDefault="00387793" w:rsidP="00A86B09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797">
        <w:rPr>
          <w:rFonts w:ascii="Times New Roman" w:hAnsi="Times New Roman" w:cs="Times New Roman"/>
          <w:sz w:val="28"/>
          <w:szCs w:val="28"/>
        </w:rPr>
        <w:t xml:space="preserve">Вопросы организационного характера при формировании </w:t>
      </w:r>
      <w:r w:rsidR="009B118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AC7797">
        <w:rPr>
          <w:rFonts w:ascii="Times New Roman" w:hAnsi="Times New Roman" w:cs="Times New Roman"/>
          <w:sz w:val="28"/>
          <w:szCs w:val="28"/>
        </w:rPr>
        <w:t>и согласовании Перечня определяются председателем АТК г.</w:t>
      </w:r>
      <w:r w:rsidR="00D25DBF" w:rsidRPr="00AC7797">
        <w:rPr>
          <w:rFonts w:ascii="Times New Roman" w:hAnsi="Times New Roman" w:cs="Times New Roman"/>
          <w:sz w:val="28"/>
          <w:szCs w:val="28"/>
        </w:rPr>
        <w:t xml:space="preserve"> </w:t>
      </w:r>
      <w:r w:rsidRPr="00AC7797">
        <w:rPr>
          <w:rFonts w:ascii="Times New Roman" w:hAnsi="Times New Roman" w:cs="Times New Roman"/>
          <w:sz w:val="28"/>
          <w:szCs w:val="28"/>
        </w:rPr>
        <w:t xml:space="preserve">Нефтекамск </w:t>
      </w:r>
      <w:r w:rsidR="009B1188">
        <w:rPr>
          <w:rFonts w:ascii="Times New Roman" w:hAnsi="Times New Roman" w:cs="Times New Roman"/>
          <w:sz w:val="28"/>
          <w:szCs w:val="28"/>
        </w:rPr>
        <w:t xml:space="preserve">      </w:t>
      </w:r>
      <w:r w:rsidRPr="00AC7797">
        <w:rPr>
          <w:rFonts w:ascii="Times New Roman" w:hAnsi="Times New Roman" w:cs="Times New Roman"/>
          <w:sz w:val="28"/>
          <w:szCs w:val="28"/>
        </w:rPr>
        <w:t>с обязательным вынесением вопроса на заседание АТК. Также предложения о включении того или иного объекта в перечень направляются членами АТК г.</w:t>
      </w:r>
      <w:r w:rsidR="00D25DBF" w:rsidRPr="00AC7797">
        <w:rPr>
          <w:rFonts w:ascii="Times New Roman" w:hAnsi="Times New Roman" w:cs="Times New Roman"/>
          <w:sz w:val="28"/>
          <w:szCs w:val="28"/>
        </w:rPr>
        <w:t xml:space="preserve"> </w:t>
      </w:r>
      <w:r w:rsidRPr="00AC7797">
        <w:rPr>
          <w:rFonts w:ascii="Times New Roman" w:hAnsi="Times New Roman" w:cs="Times New Roman"/>
          <w:sz w:val="28"/>
          <w:szCs w:val="28"/>
        </w:rPr>
        <w:t>Нефтекамск.</w:t>
      </w:r>
    </w:p>
    <w:p w:rsidR="008234BF" w:rsidRPr="00AC7797" w:rsidRDefault="00387793" w:rsidP="00A86B09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797">
        <w:rPr>
          <w:rFonts w:ascii="Times New Roman" w:hAnsi="Times New Roman" w:cs="Times New Roman"/>
          <w:sz w:val="28"/>
          <w:szCs w:val="28"/>
        </w:rPr>
        <w:t>В согласовании Перечней в обязательном порядке участвуют территориальные органы безопасности, территориальные органы МВД России и МЧС России.</w:t>
      </w:r>
    </w:p>
    <w:p w:rsidR="008234BF" w:rsidRPr="00AC7797" w:rsidRDefault="00387793" w:rsidP="00A86B09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в Перечень ММПЛ включено </w:t>
      </w:r>
      <w:r w:rsidR="003B535E" w:rsidRPr="00AC7797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AC7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объектов. Все объекты обследованы и им присвоены категории. Паспорта безопасности имеют </w:t>
      </w:r>
      <w:r w:rsidR="003B535E" w:rsidRPr="00AC7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Pr="00AC7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объектов. </w:t>
      </w:r>
      <w:r w:rsidR="00AF1454">
        <w:rPr>
          <w:rFonts w:ascii="Times New Roman" w:eastAsia="Times New Roman" w:hAnsi="Times New Roman" w:cs="Times New Roman"/>
          <w:sz w:val="28"/>
          <w:szCs w:val="28"/>
          <w:lang w:eastAsia="ru-RU"/>
        </w:rPr>
        <w:t>У трех</w:t>
      </w:r>
      <w:r w:rsidRPr="00AC7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</w:t>
      </w:r>
      <w:r w:rsidR="00AF1454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AC7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паспорта безопасности находятся </w:t>
      </w:r>
      <w:r w:rsidR="009B1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AC77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согласовании.</w:t>
      </w:r>
    </w:p>
    <w:p w:rsidR="008A3763" w:rsidRPr="00AC7797" w:rsidRDefault="008A3763" w:rsidP="00A86B09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7797">
        <w:rPr>
          <w:rFonts w:ascii="Times New Roman" w:hAnsi="Times New Roman" w:cs="Times New Roman"/>
          <w:sz w:val="28"/>
          <w:szCs w:val="28"/>
        </w:rPr>
        <w:t xml:space="preserve">К ММПЛ в зависимости от присвоенной категории предъявляются требований к антитеррористической защищенности в соответствии </w:t>
      </w:r>
      <w:r w:rsidR="00A86B0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C7797">
        <w:rPr>
          <w:rFonts w:ascii="Times New Roman" w:hAnsi="Times New Roman" w:cs="Times New Roman"/>
          <w:sz w:val="28"/>
          <w:szCs w:val="28"/>
        </w:rPr>
        <w:t xml:space="preserve">с постановлением Правительства Российской Федерации №272 от 25.03.2015 г.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таких мест </w:t>
      </w:r>
      <w:r w:rsidR="009B1188">
        <w:rPr>
          <w:rFonts w:ascii="Times New Roman" w:hAnsi="Times New Roman" w:cs="Times New Roman"/>
          <w:sz w:val="28"/>
          <w:szCs w:val="28"/>
        </w:rPr>
        <w:t xml:space="preserve">     </w:t>
      </w:r>
      <w:r w:rsidRPr="00AC7797">
        <w:rPr>
          <w:rFonts w:ascii="Times New Roman" w:hAnsi="Times New Roman" w:cs="Times New Roman"/>
          <w:sz w:val="28"/>
          <w:szCs w:val="28"/>
        </w:rPr>
        <w:t>и объектов (территорий)»</w:t>
      </w:r>
      <w:r w:rsidR="00D25DBF" w:rsidRPr="00AC7797">
        <w:rPr>
          <w:rFonts w:ascii="Times New Roman" w:hAnsi="Times New Roman" w:cs="Times New Roman"/>
          <w:sz w:val="28"/>
          <w:szCs w:val="28"/>
        </w:rPr>
        <w:t>.</w:t>
      </w:r>
    </w:p>
    <w:p w:rsidR="003B535E" w:rsidRPr="00AC7797" w:rsidRDefault="003B535E" w:rsidP="00A86B09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7797">
        <w:rPr>
          <w:rFonts w:ascii="Times New Roman" w:hAnsi="Times New Roman" w:cs="Times New Roman"/>
          <w:color w:val="000000"/>
          <w:sz w:val="28"/>
          <w:szCs w:val="28"/>
        </w:rPr>
        <w:t>Особое внимание депутатов</w:t>
      </w:r>
      <w:r w:rsidR="004E14FA" w:rsidRPr="00AC7797">
        <w:rPr>
          <w:rFonts w:ascii="Times New Roman" w:hAnsi="Times New Roman" w:cs="Times New Roman"/>
          <w:color w:val="000000"/>
          <w:sz w:val="28"/>
          <w:szCs w:val="28"/>
        </w:rPr>
        <w:t xml:space="preserve"> и коллег</w:t>
      </w:r>
      <w:r w:rsidRPr="00AC7797">
        <w:rPr>
          <w:rFonts w:ascii="Times New Roman" w:hAnsi="Times New Roman" w:cs="Times New Roman"/>
          <w:color w:val="000000"/>
          <w:sz w:val="28"/>
          <w:szCs w:val="28"/>
        </w:rPr>
        <w:t xml:space="preserve"> хочется остановить </w:t>
      </w:r>
      <w:r w:rsidR="009B118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 w:rsidRPr="00AC7797">
        <w:rPr>
          <w:rFonts w:ascii="Times New Roman" w:hAnsi="Times New Roman" w:cs="Times New Roman"/>
          <w:color w:val="000000"/>
          <w:sz w:val="28"/>
          <w:szCs w:val="28"/>
        </w:rPr>
        <w:t>на следующем.</w:t>
      </w:r>
    </w:p>
    <w:p w:rsidR="008A3763" w:rsidRPr="00AC7797" w:rsidRDefault="008A3763" w:rsidP="00A86B09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7797">
        <w:rPr>
          <w:rFonts w:ascii="Times New Roman" w:hAnsi="Times New Roman" w:cs="Times New Roman"/>
          <w:color w:val="000000"/>
          <w:sz w:val="28"/>
          <w:szCs w:val="28"/>
        </w:rPr>
        <w:t xml:space="preserve">Все места массового пребывания людей независимо от установленной категории </w:t>
      </w:r>
      <w:r w:rsidR="004E14FA" w:rsidRPr="00AC7797">
        <w:rPr>
          <w:rFonts w:ascii="Times New Roman" w:hAnsi="Times New Roman" w:cs="Times New Roman"/>
          <w:color w:val="000000"/>
          <w:sz w:val="28"/>
          <w:szCs w:val="28"/>
        </w:rPr>
        <w:t>должны быть оборудованы</w:t>
      </w:r>
      <w:r w:rsidRPr="00AC779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A3763" w:rsidRPr="00AC7797" w:rsidRDefault="008A3763" w:rsidP="00A86B09">
      <w:pPr>
        <w:pStyle w:val="HTML"/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C7797">
        <w:rPr>
          <w:rFonts w:ascii="Times New Roman" w:hAnsi="Times New Roman" w:cs="Times New Roman"/>
          <w:color w:val="000000"/>
          <w:sz w:val="28"/>
          <w:szCs w:val="28"/>
        </w:rPr>
        <w:t>а) системой видеонаблюдения;</w:t>
      </w:r>
    </w:p>
    <w:p w:rsidR="008A3763" w:rsidRPr="00AC7797" w:rsidRDefault="008A3763" w:rsidP="00A86B09">
      <w:pPr>
        <w:pStyle w:val="HTML"/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C7797">
        <w:rPr>
          <w:rFonts w:ascii="Times New Roman" w:hAnsi="Times New Roman" w:cs="Times New Roman"/>
          <w:color w:val="000000"/>
          <w:sz w:val="28"/>
          <w:szCs w:val="28"/>
        </w:rPr>
        <w:t>б) системой оповещения и управления эвакуацией;</w:t>
      </w:r>
    </w:p>
    <w:p w:rsidR="008A3763" w:rsidRPr="00AC7797" w:rsidRDefault="008A3763" w:rsidP="00A86B09">
      <w:pPr>
        <w:pStyle w:val="HTML"/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C7797">
        <w:rPr>
          <w:rFonts w:ascii="Times New Roman" w:hAnsi="Times New Roman" w:cs="Times New Roman"/>
          <w:color w:val="000000"/>
          <w:sz w:val="28"/>
          <w:szCs w:val="28"/>
        </w:rPr>
        <w:t>в) системой освещения.</w:t>
      </w:r>
    </w:p>
    <w:p w:rsidR="008A3763" w:rsidRPr="00AC7797" w:rsidRDefault="008A3763" w:rsidP="00A86B09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C7797">
        <w:rPr>
          <w:rFonts w:ascii="Times New Roman" w:hAnsi="Times New Roman" w:cs="Times New Roman"/>
          <w:color w:val="000000"/>
          <w:sz w:val="28"/>
          <w:szCs w:val="28"/>
        </w:rPr>
        <w:t>Указанным</w:t>
      </w:r>
      <w:proofErr w:type="gramEnd"/>
      <w:r w:rsidRPr="00AC7797">
        <w:rPr>
          <w:rFonts w:ascii="Times New Roman" w:hAnsi="Times New Roman" w:cs="Times New Roman"/>
          <w:color w:val="000000"/>
          <w:sz w:val="28"/>
          <w:szCs w:val="28"/>
        </w:rPr>
        <w:t xml:space="preserve"> требованиями члены АТК, правоохранительные и иные контроль-надзорные органы уделяют особое внимание. </w:t>
      </w:r>
    </w:p>
    <w:p w:rsidR="005463E0" w:rsidRPr="00AC7797" w:rsidRDefault="005463E0" w:rsidP="00A86B09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797">
        <w:rPr>
          <w:rFonts w:ascii="Times New Roman" w:hAnsi="Times New Roman" w:cs="Times New Roman"/>
          <w:sz w:val="28"/>
          <w:szCs w:val="28"/>
        </w:rPr>
        <w:t>Система видеонаблюдения предназначена для визуального контроля обстановки в выделенных зонах, анализа нештатных ситуаций, проверки поступающих сигналов тревоги, оказания помощи в принятии оперативных решений, документирования данных видеонаблюдения.</w:t>
      </w:r>
    </w:p>
    <w:p w:rsidR="006D4109" w:rsidRPr="00AC7797" w:rsidRDefault="006D4109" w:rsidP="00A86B09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7797">
        <w:rPr>
          <w:rFonts w:ascii="Times New Roman" w:hAnsi="Times New Roman" w:cs="Times New Roman"/>
          <w:sz w:val="28"/>
          <w:szCs w:val="28"/>
        </w:rPr>
        <w:t xml:space="preserve">Система видеонаблюдения в ММПЛ организуется с учётом требований: </w:t>
      </w:r>
      <w:r w:rsidRPr="00AC7797">
        <w:rPr>
          <w:rFonts w:ascii="Times New Roman" w:hAnsi="Times New Roman" w:cs="Times New Roman"/>
          <w:sz w:val="28"/>
          <w:szCs w:val="28"/>
        </w:rPr>
        <w:sym w:font="Symbol" w:char="F02D"/>
      </w:r>
      <w:r w:rsidRPr="00AC7797">
        <w:rPr>
          <w:rFonts w:ascii="Times New Roman" w:hAnsi="Times New Roman" w:cs="Times New Roman"/>
          <w:sz w:val="28"/>
          <w:szCs w:val="28"/>
        </w:rPr>
        <w:t xml:space="preserve"> ГОСТ </w:t>
      </w:r>
      <w:proofErr w:type="gramStart"/>
      <w:r w:rsidRPr="00AC779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C7797">
        <w:rPr>
          <w:rFonts w:ascii="Times New Roman" w:hAnsi="Times New Roman" w:cs="Times New Roman"/>
          <w:sz w:val="28"/>
          <w:szCs w:val="28"/>
        </w:rPr>
        <w:t xml:space="preserve"> 51558-2008 «Средства и системы охранные телевизионные. Классификация. Общие технические требования и методы испытаний»; </w:t>
      </w:r>
      <w:r w:rsidRPr="00AC7797">
        <w:rPr>
          <w:rFonts w:ascii="Times New Roman" w:hAnsi="Times New Roman" w:cs="Times New Roman"/>
          <w:sz w:val="28"/>
          <w:szCs w:val="28"/>
        </w:rPr>
        <w:sym w:font="Symbol" w:char="F02D"/>
      </w:r>
      <w:r w:rsidRPr="00AC77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779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C7797">
        <w:rPr>
          <w:rFonts w:ascii="Times New Roman" w:hAnsi="Times New Roman" w:cs="Times New Roman"/>
          <w:sz w:val="28"/>
          <w:szCs w:val="28"/>
        </w:rPr>
        <w:t xml:space="preserve"> 78.36.032-2014. </w:t>
      </w:r>
      <w:proofErr w:type="gramStart"/>
      <w:r w:rsidRPr="00AC7797">
        <w:rPr>
          <w:rFonts w:ascii="Times New Roman" w:hAnsi="Times New Roman" w:cs="Times New Roman"/>
          <w:sz w:val="28"/>
          <w:szCs w:val="28"/>
        </w:rPr>
        <w:t>Инженерно-техническая</w:t>
      </w:r>
      <w:proofErr w:type="gramEnd"/>
      <w:r w:rsidRPr="00AC77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797">
        <w:rPr>
          <w:rFonts w:ascii="Times New Roman" w:hAnsi="Times New Roman" w:cs="Times New Roman"/>
          <w:sz w:val="28"/>
          <w:szCs w:val="28"/>
        </w:rPr>
        <w:t>укрепленность</w:t>
      </w:r>
      <w:proofErr w:type="spellEnd"/>
      <w:r w:rsidRPr="00AC7797">
        <w:rPr>
          <w:rFonts w:ascii="Times New Roman" w:hAnsi="Times New Roman" w:cs="Times New Roman"/>
          <w:sz w:val="28"/>
          <w:szCs w:val="28"/>
        </w:rPr>
        <w:t xml:space="preserve"> </w:t>
      </w:r>
      <w:r w:rsidR="00A66CD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C7797">
        <w:rPr>
          <w:rFonts w:ascii="Times New Roman" w:hAnsi="Times New Roman" w:cs="Times New Roman"/>
          <w:sz w:val="28"/>
          <w:szCs w:val="28"/>
        </w:rPr>
        <w:t>и оснащение техническими средствами охраны объектов, квартир и МХИГ, принимаемых под централизованную охрану подразделениями вневедомственной охраны. Часть 2. Квартиры и МХИГ. Методические рекомендации.</w:t>
      </w:r>
    </w:p>
    <w:p w:rsidR="008234BF" w:rsidRPr="00AC7797" w:rsidRDefault="00387793" w:rsidP="00A86B09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797">
        <w:rPr>
          <w:rFonts w:ascii="Times New Roman" w:hAnsi="Times New Roman" w:cs="Times New Roman"/>
          <w:sz w:val="28"/>
          <w:szCs w:val="28"/>
        </w:rPr>
        <w:t>Обеспечению антитеррористической защищенности ММПЛ способствует построение и развитие аппаратно-программног</w:t>
      </w:r>
      <w:r w:rsidR="008A3763" w:rsidRPr="00AC7797">
        <w:rPr>
          <w:rFonts w:ascii="Times New Roman" w:hAnsi="Times New Roman" w:cs="Times New Roman"/>
          <w:sz w:val="28"/>
          <w:szCs w:val="28"/>
        </w:rPr>
        <w:t>о комплекса «Безопасный город». Н</w:t>
      </w:r>
      <w:r w:rsidRPr="00AC7797">
        <w:rPr>
          <w:rFonts w:ascii="Times New Roman" w:hAnsi="Times New Roman" w:cs="Times New Roman"/>
          <w:sz w:val="28"/>
          <w:szCs w:val="28"/>
        </w:rPr>
        <w:t>апример, посредством контроля в едином информационном пространстве в режиме реального времени обстановки, складывающейся в районах расположения ММПЛ</w:t>
      </w:r>
      <w:r w:rsidR="008A3763" w:rsidRPr="00AC7797">
        <w:rPr>
          <w:rFonts w:ascii="Times New Roman" w:hAnsi="Times New Roman" w:cs="Times New Roman"/>
          <w:sz w:val="28"/>
          <w:szCs w:val="28"/>
        </w:rPr>
        <w:t xml:space="preserve"> сотрудники правоохранительных органов, </w:t>
      </w:r>
      <w:proofErr w:type="gramStart"/>
      <w:r w:rsidR="008A3763" w:rsidRPr="00AC7797">
        <w:rPr>
          <w:rFonts w:ascii="Times New Roman" w:hAnsi="Times New Roman" w:cs="Times New Roman"/>
          <w:sz w:val="28"/>
          <w:szCs w:val="28"/>
        </w:rPr>
        <w:t>сотрудники</w:t>
      </w:r>
      <w:proofErr w:type="gramEnd"/>
      <w:r w:rsidR="008A3763" w:rsidRPr="00AC7797">
        <w:rPr>
          <w:rFonts w:ascii="Times New Roman" w:hAnsi="Times New Roman" w:cs="Times New Roman"/>
          <w:sz w:val="28"/>
          <w:szCs w:val="28"/>
        </w:rPr>
        <w:t xml:space="preserve"> обеспечивающие физическую охрану ММПЛ могут максимально оперативно принять меры </w:t>
      </w:r>
      <w:r w:rsidR="009B118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8A3763" w:rsidRPr="00AC7797">
        <w:rPr>
          <w:rFonts w:ascii="Times New Roman" w:hAnsi="Times New Roman" w:cs="Times New Roman"/>
          <w:sz w:val="28"/>
          <w:szCs w:val="28"/>
        </w:rPr>
        <w:t>по предотвращению террористических актов</w:t>
      </w:r>
      <w:r w:rsidRPr="00AC7797">
        <w:rPr>
          <w:rFonts w:ascii="Times New Roman" w:hAnsi="Times New Roman" w:cs="Times New Roman"/>
          <w:sz w:val="28"/>
          <w:szCs w:val="28"/>
        </w:rPr>
        <w:t>. Требования носят общий характер в отношении вопросов оснащения ММПЛ средствами инженерной защиты и инженерно-техническими средствами охраны. Оснащение ММПЛ конкретными моделями средств охраны определяется в техническом задании на проектирование и на этапе выполнения строительно-монтажных работ, реконструкции и капитального ремонта</w:t>
      </w:r>
      <w:r w:rsidR="003B535E" w:rsidRPr="00AC77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535E" w:rsidRPr="00AC7797" w:rsidRDefault="003B535E" w:rsidP="00A86B09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видеонаблюдения с учетом количества</w:t>
      </w:r>
      <w:r w:rsidRPr="00AC7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03E4" w:rsidRPr="00AC7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устанавливаемых видеокамер и мест </w:t>
      </w:r>
      <w:r w:rsidRPr="00AC7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размещения должна обеспечивать</w:t>
      </w:r>
      <w:r w:rsidRPr="00AC7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7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непрерывное видеонаблюдение за состоянием обстановки на всей</w:t>
      </w:r>
      <w:r w:rsidRPr="00AC7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7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 места массового пребывания людей, архивирование и</w:t>
      </w:r>
      <w:r w:rsidRPr="00AC7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7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хранение данных в течение 30 дней.</w:t>
      </w:r>
    </w:p>
    <w:p w:rsidR="003B535E" w:rsidRPr="00AC7797" w:rsidRDefault="003B535E" w:rsidP="00A86B09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C7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Несмотря на этой количество камер видеонаблюдения в ММПЛ здание администрации; Площадь перед кинотеатром «Октябрь», Парк Культуры </w:t>
      </w:r>
      <w:r w:rsidR="009B1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AC7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отдыха, в том числе площадь перед Большой сценой, Территор</w:t>
      </w:r>
      <w:r w:rsidR="001255CA" w:rsidRPr="00AC7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Тропы здоровья не соотве</w:t>
      </w:r>
      <w:r w:rsidRPr="00AC7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тствует требованиям предъявляемым постановлением </w:t>
      </w:r>
      <w:r w:rsidR="009B1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AC7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A8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7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272 от 15.03.2015 г. Указанные ММПЛ являются собственностью муниципального образования, финансирование обеспечения АТЗ которого осуществляется бюджетом городского округа.</w:t>
      </w:r>
      <w:proofErr w:type="gramEnd"/>
      <w:r w:rsidRPr="00AC7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Прошу депутатов при формировании бюджета обратить внимание о необходимости дооборудования системами камер видеонаблюдения указанных объектов. </w:t>
      </w:r>
    </w:p>
    <w:p w:rsidR="008234BF" w:rsidRPr="00AC7797" w:rsidRDefault="006D4109" w:rsidP="00A86B09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7797">
        <w:rPr>
          <w:rFonts w:ascii="Times New Roman" w:hAnsi="Times New Roman" w:cs="Times New Roman"/>
          <w:sz w:val="28"/>
          <w:szCs w:val="28"/>
        </w:rPr>
        <w:t xml:space="preserve">Система оповещения в ММПЛ создаётся с учётом СП 3.13130.2009. Свод правил. Системы противопожарной защиты. Система оповещения </w:t>
      </w:r>
      <w:r w:rsidR="00A66CD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C7797">
        <w:rPr>
          <w:rFonts w:ascii="Times New Roman" w:hAnsi="Times New Roman" w:cs="Times New Roman"/>
          <w:sz w:val="28"/>
          <w:szCs w:val="28"/>
        </w:rPr>
        <w:t>и управления эвакуацией людей при пожаре. Требования пожарной безопасности (утверждены приказом МЧС России от 25 марта 2009 года</w:t>
      </w:r>
      <w:r w:rsidR="00A86B09">
        <w:rPr>
          <w:rFonts w:ascii="Times New Roman" w:hAnsi="Times New Roman" w:cs="Times New Roman"/>
          <w:sz w:val="28"/>
          <w:szCs w:val="28"/>
        </w:rPr>
        <w:t xml:space="preserve"> </w:t>
      </w:r>
      <w:r w:rsidR="00FE2FE5">
        <w:rPr>
          <w:rFonts w:ascii="Times New Roman" w:hAnsi="Times New Roman" w:cs="Times New Roman"/>
          <w:sz w:val="28"/>
          <w:szCs w:val="28"/>
        </w:rPr>
        <w:t xml:space="preserve">       № 173).</w:t>
      </w:r>
    </w:p>
    <w:p w:rsidR="003B535E" w:rsidRPr="00AC7797" w:rsidRDefault="006D4109" w:rsidP="00A86B09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797">
        <w:rPr>
          <w:rFonts w:ascii="Times New Roman" w:hAnsi="Times New Roman" w:cs="Times New Roman"/>
          <w:sz w:val="28"/>
          <w:szCs w:val="28"/>
        </w:rPr>
        <w:t xml:space="preserve">Места установки информационных стендов (табло), содержащих схему эвакуации при возникновении чрезвычайных ситуаций, телефоны правообладателя соответствующего ММПЛ, аварийно-спасательных служб, правоохранительных органов и органов безопасности определяются комиссией. При этом следует учитывать, что они размещаются, как правило, в местах, не препятствующих передвижению людей, исходя из площади или </w:t>
      </w:r>
      <w:proofErr w:type="spellStart"/>
      <w:r w:rsidRPr="00AC7797">
        <w:rPr>
          <w:rFonts w:ascii="Times New Roman" w:hAnsi="Times New Roman" w:cs="Times New Roman"/>
          <w:sz w:val="28"/>
          <w:szCs w:val="28"/>
        </w:rPr>
        <w:t>периметральной</w:t>
      </w:r>
      <w:proofErr w:type="spellEnd"/>
      <w:r w:rsidRPr="00AC7797">
        <w:rPr>
          <w:rFonts w:ascii="Times New Roman" w:hAnsi="Times New Roman" w:cs="Times New Roman"/>
          <w:sz w:val="28"/>
          <w:szCs w:val="28"/>
        </w:rPr>
        <w:t xml:space="preserve"> протяжённости ММПЛ, на расстоянии, достаточном для получения экстренной информации.</w:t>
      </w:r>
    </w:p>
    <w:p w:rsidR="003B535E" w:rsidRPr="00AC7797" w:rsidRDefault="003B535E" w:rsidP="00A86B09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обеспечению физической охраны ММПЛ привлекаются</w:t>
      </w:r>
      <w:r w:rsidR="00D25DBF" w:rsidRPr="00AC7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различные </w:t>
      </w:r>
      <w:r w:rsidRPr="00AC7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общественные объединения и организации в порядке, установленном законодательством Российской Федерации.</w:t>
      </w:r>
    </w:p>
    <w:p w:rsidR="003B535E" w:rsidRPr="00AC7797" w:rsidRDefault="003B535E" w:rsidP="00A86B09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Пути эвакуации в ММПЛ </w:t>
      </w:r>
      <w:r w:rsidR="005803E4" w:rsidRPr="00AC7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момент проводимых проверок</w:t>
      </w:r>
      <w:r w:rsidRPr="00AC7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свободны для перемещения людей и транспортных средств.</w:t>
      </w:r>
    </w:p>
    <w:p w:rsidR="00164EEA" w:rsidRPr="00AC7797" w:rsidRDefault="00164EEA" w:rsidP="00A86B09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обеспечения работы система освещения ММПЛ применяются: </w:t>
      </w:r>
    </w:p>
    <w:p w:rsidR="00164EEA" w:rsidRPr="00AC7797" w:rsidRDefault="00164EEA" w:rsidP="00A86B09">
      <w:pPr>
        <w:pStyle w:val="1"/>
        <w:shd w:val="clear" w:color="auto" w:fill="FFFFFF"/>
        <w:spacing w:before="0"/>
        <w:ind w:firstLine="709"/>
        <w:jc w:val="both"/>
        <w:textAlignment w:val="baseline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AC7797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ГОСТ </w:t>
      </w:r>
      <w:proofErr w:type="gramStart"/>
      <w:r w:rsidRPr="00AC7797">
        <w:rPr>
          <w:rFonts w:ascii="Times New Roman" w:hAnsi="Times New Roman" w:cs="Times New Roman"/>
          <w:color w:val="auto"/>
          <w:spacing w:val="2"/>
          <w:sz w:val="28"/>
          <w:szCs w:val="28"/>
        </w:rPr>
        <w:t>Р</w:t>
      </w:r>
      <w:proofErr w:type="gramEnd"/>
      <w:r w:rsidRPr="00AC7797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56228-2014 Освещение искусственное. Термины </w:t>
      </w:r>
      <w:r w:rsidR="009B1188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                     </w:t>
      </w:r>
      <w:r w:rsidRPr="00AC7797">
        <w:rPr>
          <w:rFonts w:ascii="Times New Roman" w:hAnsi="Times New Roman" w:cs="Times New Roman"/>
          <w:color w:val="auto"/>
          <w:spacing w:val="2"/>
          <w:sz w:val="28"/>
          <w:szCs w:val="28"/>
        </w:rPr>
        <w:t>и определения</w:t>
      </w:r>
      <w:r w:rsidR="00A86B09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</w:p>
    <w:p w:rsidR="00164EEA" w:rsidRPr="00AC7797" w:rsidRDefault="00164EEA" w:rsidP="00A86B09">
      <w:pPr>
        <w:pStyle w:val="1"/>
        <w:shd w:val="clear" w:color="auto" w:fill="FFFFFF"/>
        <w:spacing w:before="0"/>
        <w:ind w:firstLine="709"/>
        <w:jc w:val="both"/>
        <w:textAlignment w:val="baseline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AC7797">
        <w:rPr>
          <w:rFonts w:ascii="Times New Roman" w:hAnsi="Times New Roman" w:cs="Times New Roman"/>
          <w:color w:val="auto"/>
          <w:spacing w:val="2"/>
          <w:sz w:val="28"/>
          <w:szCs w:val="28"/>
        </w:rPr>
        <w:t>ГОСТ 24940-2016 Здания и сооружения. Методы измерения освещенности</w:t>
      </w:r>
      <w:r w:rsidR="00A86B09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</w:p>
    <w:p w:rsidR="00164EEA" w:rsidRPr="00AC7797" w:rsidRDefault="00164EEA" w:rsidP="00A86B09">
      <w:pPr>
        <w:pStyle w:val="1"/>
        <w:pBdr>
          <w:bottom w:val="single" w:sz="6" w:space="7" w:color="EEEEEE"/>
        </w:pBdr>
        <w:shd w:val="clear" w:color="auto" w:fill="FFFFFF"/>
        <w:spacing w:before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AC7797">
        <w:rPr>
          <w:rFonts w:ascii="Times New Roman" w:hAnsi="Times New Roman" w:cs="Times New Roman"/>
          <w:bCs/>
          <w:color w:val="auto"/>
          <w:sz w:val="28"/>
          <w:szCs w:val="28"/>
        </w:rPr>
        <w:t>СНиП 23-05-95 Естественное и искусственное освещение</w:t>
      </w:r>
      <w:r w:rsidR="00A86B09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B81C6D" w:rsidRPr="00AC7797" w:rsidRDefault="00B81C6D" w:rsidP="00A86B09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целом антитеррористическая защищенность мест массового пребывания людей и социально-значимых объектов на территории городского округа город Нефтекамск соответс</w:t>
      </w:r>
      <w:r w:rsidR="00BD76B9" w:rsidRPr="00AC7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твует предъявляемым требованиям, антитеррористическая защищенность указанных объектов обеспечена в соответствии с </w:t>
      </w:r>
      <w:proofErr w:type="gramStart"/>
      <w:r w:rsidR="00BD76B9" w:rsidRPr="00AC7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нормативными</w:t>
      </w:r>
      <w:proofErr w:type="gramEnd"/>
      <w:r w:rsidR="00BD76B9" w:rsidRPr="00AC7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актам</w:t>
      </w:r>
      <w:r w:rsidR="00A8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234BF" w:rsidRPr="00AC7797" w:rsidRDefault="008234BF" w:rsidP="00670341">
      <w:pPr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4BF" w:rsidRDefault="008234BF" w:rsidP="00670341">
      <w:pPr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188" w:rsidRPr="00AC7797" w:rsidRDefault="009B1188" w:rsidP="00670341">
      <w:pPr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C6D" w:rsidRPr="00AC7797" w:rsidRDefault="00B81C6D" w:rsidP="000B4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7797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</w:p>
    <w:p w:rsidR="005A4BC5" w:rsidRDefault="0026386D" w:rsidP="000B4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7797">
        <w:rPr>
          <w:rFonts w:ascii="Times New Roman" w:hAnsi="Times New Roman" w:cs="Times New Roman"/>
          <w:sz w:val="28"/>
          <w:szCs w:val="28"/>
        </w:rPr>
        <w:t>административной комиссии</w:t>
      </w:r>
    </w:p>
    <w:p w:rsidR="005A4BC5" w:rsidRDefault="005A4BC5" w:rsidP="000B4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 г. Нефтекамск</w:t>
      </w:r>
    </w:p>
    <w:p w:rsidR="0026386D" w:rsidRPr="00AC7797" w:rsidRDefault="005A4BC5" w:rsidP="000B4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    </w:t>
      </w:r>
      <w:r w:rsidR="0026386D" w:rsidRPr="00AC779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B4266" w:rsidRPr="00AC7797">
        <w:rPr>
          <w:rFonts w:ascii="Times New Roman" w:hAnsi="Times New Roman" w:cs="Times New Roman"/>
          <w:sz w:val="28"/>
          <w:szCs w:val="28"/>
        </w:rPr>
        <w:t xml:space="preserve">         </w:t>
      </w:r>
      <w:r w:rsidR="0026386D" w:rsidRPr="00AC779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81C6D" w:rsidRPr="00AC7797">
        <w:rPr>
          <w:rFonts w:ascii="Times New Roman" w:hAnsi="Times New Roman" w:cs="Times New Roman"/>
          <w:sz w:val="28"/>
          <w:szCs w:val="28"/>
        </w:rPr>
        <w:t xml:space="preserve">      </w:t>
      </w:r>
      <w:r w:rsidR="0026386D" w:rsidRPr="00AC7797">
        <w:rPr>
          <w:rFonts w:ascii="Times New Roman" w:hAnsi="Times New Roman" w:cs="Times New Roman"/>
          <w:sz w:val="28"/>
          <w:szCs w:val="28"/>
        </w:rPr>
        <w:t xml:space="preserve">           Б.А.</w:t>
      </w:r>
      <w:r w:rsidR="00D25DBF" w:rsidRPr="00AC77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386D" w:rsidRPr="00AC7797">
        <w:rPr>
          <w:rFonts w:ascii="Times New Roman" w:hAnsi="Times New Roman" w:cs="Times New Roman"/>
          <w:sz w:val="28"/>
          <w:szCs w:val="28"/>
        </w:rPr>
        <w:t>Зиннатуллин</w:t>
      </w:r>
      <w:proofErr w:type="spellEnd"/>
    </w:p>
    <w:sectPr w:rsidR="0026386D" w:rsidRPr="00AC7797" w:rsidSect="009B1188">
      <w:headerReference w:type="default" r:id="rId8"/>
      <w:pgSz w:w="11906" w:h="16838"/>
      <w:pgMar w:top="1134" w:right="851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454" w:rsidRDefault="00AF1454" w:rsidP="00D25DBF">
      <w:pPr>
        <w:spacing w:after="0" w:line="240" w:lineRule="auto"/>
      </w:pPr>
      <w:r>
        <w:separator/>
      </w:r>
    </w:p>
  </w:endnote>
  <w:endnote w:type="continuationSeparator" w:id="0">
    <w:p w:rsidR="00AF1454" w:rsidRDefault="00AF1454" w:rsidP="00D25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454" w:rsidRDefault="00AF1454" w:rsidP="00D25DBF">
      <w:pPr>
        <w:spacing w:after="0" w:line="240" w:lineRule="auto"/>
      </w:pPr>
      <w:r>
        <w:separator/>
      </w:r>
    </w:p>
  </w:footnote>
  <w:footnote w:type="continuationSeparator" w:id="0">
    <w:p w:rsidR="00AF1454" w:rsidRDefault="00AF1454" w:rsidP="00D25D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0218270"/>
      <w:docPartObj>
        <w:docPartGallery w:val="Page Numbers (Top of Page)"/>
        <w:docPartUnique/>
      </w:docPartObj>
    </w:sdtPr>
    <w:sdtContent>
      <w:p w:rsidR="00AF1454" w:rsidRDefault="00AF1454">
        <w:pPr>
          <w:pStyle w:val="a9"/>
          <w:jc w:val="center"/>
        </w:pPr>
        <w:fldSimple w:instr="PAGE   \* MERGEFORMAT">
          <w:r w:rsidR="00125992">
            <w:rPr>
              <w:noProof/>
            </w:rPr>
            <w:t>5</w:t>
          </w:r>
        </w:fldSimple>
      </w:p>
    </w:sdtContent>
  </w:sdt>
  <w:p w:rsidR="00AF1454" w:rsidRDefault="00AF145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B3D5A"/>
    <w:multiLevelType w:val="hybridMultilevel"/>
    <w:tmpl w:val="C5142C0C"/>
    <w:lvl w:ilvl="0" w:tplc="40D217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D0FA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9E8F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501A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649A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2C95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EC37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C240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4CEE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7655E33"/>
    <w:multiLevelType w:val="hybridMultilevel"/>
    <w:tmpl w:val="28CC71C0"/>
    <w:lvl w:ilvl="0" w:tplc="652CD2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90B8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FAAC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40CE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7420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0ADA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5263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CEF1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88A1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04D0BDC"/>
    <w:multiLevelType w:val="hybridMultilevel"/>
    <w:tmpl w:val="282A4506"/>
    <w:lvl w:ilvl="0" w:tplc="73085A22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FC6102"/>
    <w:multiLevelType w:val="hybridMultilevel"/>
    <w:tmpl w:val="BA062832"/>
    <w:lvl w:ilvl="0" w:tplc="7AEC0F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88BB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6481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DC33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A0F6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28D4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3684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F0E3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4679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8244B26"/>
    <w:multiLevelType w:val="hybridMultilevel"/>
    <w:tmpl w:val="767CE67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15E3BE5"/>
    <w:multiLevelType w:val="multilevel"/>
    <w:tmpl w:val="1A58F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5CC7661"/>
    <w:multiLevelType w:val="multilevel"/>
    <w:tmpl w:val="96363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047C1"/>
    <w:rsid w:val="00003B98"/>
    <w:rsid w:val="00007661"/>
    <w:rsid w:val="00011473"/>
    <w:rsid w:val="00011A72"/>
    <w:rsid w:val="00011BFB"/>
    <w:rsid w:val="00017D84"/>
    <w:rsid w:val="00022D25"/>
    <w:rsid w:val="00023A02"/>
    <w:rsid w:val="0002492E"/>
    <w:rsid w:val="0003210D"/>
    <w:rsid w:val="000354EB"/>
    <w:rsid w:val="000515D6"/>
    <w:rsid w:val="00054DE9"/>
    <w:rsid w:val="00065136"/>
    <w:rsid w:val="00076D55"/>
    <w:rsid w:val="0008373A"/>
    <w:rsid w:val="00084F7F"/>
    <w:rsid w:val="000861A6"/>
    <w:rsid w:val="00087934"/>
    <w:rsid w:val="0009434E"/>
    <w:rsid w:val="00097278"/>
    <w:rsid w:val="000A08DB"/>
    <w:rsid w:val="000A1FF5"/>
    <w:rsid w:val="000A6628"/>
    <w:rsid w:val="000B1D11"/>
    <w:rsid w:val="000B20EC"/>
    <w:rsid w:val="000B3544"/>
    <w:rsid w:val="000B4266"/>
    <w:rsid w:val="000B59CD"/>
    <w:rsid w:val="000C03B2"/>
    <w:rsid w:val="000C3143"/>
    <w:rsid w:val="000C3862"/>
    <w:rsid w:val="000C76D9"/>
    <w:rsid w:val="000D68B9"/>
    <w:rsid w:val="000E012B"/>
    <w:rsid w:val="000E2BD7"/>
    <w:rsid w:val="000E2CE0"/>
    <w:rsid w:val="000F6A7C"/>
    <w:rsid w:val="001015D5"/>
    <w:rsid w:val="00106EC3"/>
    <w:rsid w:val="00113985"/>
    <w:rsid w:val="00116416"/>
    <w:rsid w:val="00116D7B"/>
    <w:rsid w:val="00120C33"/>
    <w:rsid w:val="00121D5B"/>
    <w:rsid w:val="00123124"/>
    <w:rsid w:val="001255CA"/>
    <w:rsid w:val="00125992"/>
    <w:rsid w:val="0013461B"/>
    <w:rsid w:val="001418AA"/>
    <w:rsid w:val="001437B9"/>
    <w:rsid w:val="001519D2"/>
    <w:rsid w:val="0015436C"/>
    <w:rsid w:val="00157603"/>
    <w:rsid w:val="001600F1"/>
    <w:rsid w:val="00160629"/>
    <w:rsid w:val="00164EEA"/>
    <w:rsid w:val="001708AC"/>
    <w:rsid w:val="0017732D"/>
    <w:rsid w:val="001839C8"/>
    <w:rsid w:val="00186E29"/>
    <w:rsid w:val="00187C63"/>
    <w:rsid w:val="001A53AF"/>
    <w:rsid w:val="001C09A7"/>
    <w:rsid w:val="001F1D26"/>
    <w:rsid w:val="001F5E5B"/>
    <w:rsid w:val="001F666E"/>
    <w:rsid w:val="002028DF"/>
    <w:rsid w:val="00213CDC"/>
    <w:rsid w:val="00234073"/>
    <w:rsid w:val="00237BB4"/>
    <w:rsid w:val="00242EAD"/>
    <w:rsid w:val="00245B8F"/>
    <w:rsid w:val="00252DD8"/>
    <w:rsid w:val="00263825"/>
    <w:rsid w:val="0026386D"/>
    <w:rsid w:val="00264E12"/>
    <w:rsid w:val="00267076"/>
    <w:rsid w:val="002670C3"/>
    <w:rsid w:val="00267A1A"/>
    <w:rsid w:val="00270E92"/>
    <w:rsid w:val="002758AB"/>
    <w:rsid w:val="00275D4B"/>
    <w:rsid w:val="00282F8E"/>
    <w:rsid w:val="0028440A"/>
    <w:rsid w:val="002919D1"/>
    <w:rsid w:val="00292C06"/>
    <w:rsid w:val="00292CED"/>
    <w:rsid w:val="00293870"/>
    <w:rsid w:val="00294D02"/>
    <w:rsid w:val="00295D40"/>
    <w:rsid w:val="00296069"/>
    <w:rsid w:val="00297675"/>
    <w:rsid w:val="002A1157"/>
    <w:rsid w:val="002B2402"/>
    <w:rsid w:val="002B3406"/>
    <w:rsid w:val="002B6348"/>
    <w:rsid w:val="002B64CD"/>
    <w:rsid w:val="002B6A20"/>
    <w:rsid w:val="002C3476"/>
    <w:rsid w:val="002C4D7E"/>
    <w:rsid w:val="002C5A49"/>
    <w:rsid w:val="002C626F"/>
    <w:rsid w:val="002D2130"/>
    <w:rsid w:val="002D3AB5"/>
    <w:rsid w:val="002D7F4D"/>
    <w:rsid w:val="002E4466"/>
    <w:rsid w:val="002F3C28"/>
    <w:rsid w:val="002F5C42"/>
    <w:rsid w:val="003004CF"/>
    <w:rsid w:val="00306115"/>
    <w:rsid w:val="00306253"/>
    <w:rsid w:val="00307C5A"/>
    <w:rsid w:val="003149CF"/>
    <w:rsid w:val="00320F2E"/>
    <w:rsid w:val="003242FA"/>
    <w:rsid w:val="00326531"/>
    <w:rsid w:val="00330948"/>
    <w:rsid w:val="003311D4"/>
    <w:rsid w:val="003346B1"/>
    <w:rsid w:val="003352BD"/>
    <w:rsid w:val="003450E7"/>
    <w:rsid w:val="00347C23"/>
    <w:rsid w:val="00350AFB"/>
    <w:rsid w:val="00361842"/>
    <w:rsid w:val="00366E72"/>
    <w:rsid w:val="00371AA1"/>
    <w:rsid w:val="0037451B"/>
    <w:rsid w:val="00387793"/>
    <w:rsid w:val="003B15FE"/>
    <w:rsid w:val="003B42DB"/>
    <w:rsid w:val="003B535E"/>
    <w:rsid w:val="003D4FE1"/>
    <w:rsid w:val="003E1DA9"/>
    <w:rsid w:val="003E456C"/>
    <w:rsid w:val="003E5D05"/>
    <w:rsid w:val="003E6C54"/>
    <w:rsid w:val="003F065A"/>
    <w:rsid w:val="003F0DB5"/>
    <w:rsid w:val="003F2571"/>
    <w:rsid w:val="00401B50"/>
    <w:rsid w:val="004047C1"/>
    <w:rsid w:val="004164AA"/>
    <w:rsid w:val="00421061"/>
    <w:rsid w:val="004258E7"/>
    <w:rsid w:val="004275E3"/>
    <w:rsid w:val="00436860"/>
    <w:rsid w:val="00440CFB"/>
    <w:rsid w:val="00441D50"/>
    <w:rsid w:val="0044511B"/>
    <w:rsid w:val="00452A50"/>
    <w:rsid w:val="00460948"/>
    <w:rsid w:val="00464058"/>
    <w:rsid w:val="00470B37"/>
    <w:rsid w:val="0047313F"/>
    <w:rsid w:val="004763B7"/>
    <w:rsid w:val="00477F19"/>
    <w:rsid w:val="00482D42"/>
    <w:rsid w:val="004908B4"/>
    <w:rsid w:val="00496628"/>
    <w:rsid w:val="004A22FA"/>
    <w:rsid w:val="004A5CC7"/>
    <w:rsid w:val="004C3592"/>
    <w:rsid w:val="004D673B"/>
    <w:rsid w:val="004E14FA"/>
    <w:rsid w:val="004E2869"/>
    <w:rsid w:val="004F2B64"/>
    <w:rsid w:val="004F5A8A"/>
    <w:rsid w:val="00500F81"/>
    <w:rsid w:val="0050344C"/>
    <w:rsid w:val="00507049"/>
    <w:rsid w:val="00512BFE"/>
    <w:rsid w:val="0051594D"/>
    <w:rsid w:val="00530EA4"/>
    <w:rsid w:val="005463E0"/>
    <w:rsid w:val="00553080"/>
    <w:rsid w:val="00553E2C"/>
    <w:rsid w:val="00557CB5"/>
    <w:rsid w:val="00561DEE"/>
    <w:rsid w:val="0056395F"/>
    <w:rsid w:val="0057398D"/>
    <w:rsid w:val="00577444"/>
    <w:rsid w:val="005803E4"/>
    <w:rsid w:val="00593838"/>
    <w:rsid w:val="005A0CCB"/>
    <w:rsid w:val="005A1B27"/>
    <w:rsid w:val="005A1BF1"/>
    <w:rsid w:val="005A29BC"/>
    <w:rsid w:val="005A4BC5"/>
    <w:rsid w:val="005B4E86"/>
    <w:rsid w:val="005B58A8"/>
    <w:rsid w:val="005C5482"/>
    <w:rsid w:val="005D5497"/>
    <w:rsid w:val="005E1F11"/>
    <w:rsid w:val="005E45C6"/>
    <w:rsid w:val="005E5B98"/>
    <w:rsid w:val="006031D2"/>
    <w:rsid w:val="006061AD"/>
    <w:rsid w:val="00614231"/>
    <w:rsid w:val="0062479B"/>
    <w:rsid w:val="00625290"/>
    <w:rsid w:val="0062658D"/>
    <w:rsid w:val="00645D88"/>
    <w:rsid w:val="00650018"/>
    <w:rsid w:val="00652D93"/>
    <w:rsid w:val="00652DD2"/>
    <w:rsid w:val="0065530C"/>
    <w:rsid w:val="00656323"/>
    <w:rsid w:val="00670341"/>
    <w:rsid w:val="00670E19"/>
    <w:rsid w:val="006723D8"/>
    <w:rsid w:val="0067249C"/>
    <w:rsid w:val="006724F1"/>
    <w:rsid w:val="00685875"/>
    <w:rsid w:val="00690D7B"/>
    <w:rsid w:val="006A1F07"/>
    <w:rsid w:val="006A3B5B"/>
    <w:rsid w:val="006A41CC"/>
    <w:rsid w:val="006C15CA"/>
    <w:rsid w:val="006D4109"/>
    <w:rsid w:val="006D5FA3"/>
    <w:rsid w:val="006E2F2A"/>
    <w:rsid w:val="006E392B"/>
    <w:rsid w:val="006F5E81"/>
    <w:rsid w:val="00701521"/>
    <w:rsid w:val="00702E46"/>
    <w:rsid w:val="00703DAA"/>
    <w:rsid w:val="00710298"/>
    <w:rsid w:val="00716626"/>
    <w:rsid w:val="0071719C"/>
    <w:rsid w:val="0072201C"/>
    <w:rsid w:val="00725595"/>
    <w:rsid w:val="00727070"/>
    <w:rsid w:val="00733D2E"/>
    <w:rsid w:val="0073503E"/>
    <w:rsid w:val="0074539F"/>
    <w:rsid w:val="00746A65"/>
    <w:rsid w:val="00746B53"/>
    <w:rsid w:val="00754168"/>
    <w:rsid w:val="00756E5E"/>
    <w:rsid w:val="00783CB6"/>
    <w:rsid w:val="007918E7"/>
    <w:rsid w:val="00791E89"/>
    <w:rsid w:val="007A14AD"/>
    <w:rsid w:val="007A417A"/>
    <w:rsid w:val="007A72A7"/>
    <w:rsid w:val="007B1A96"/>
    <w:rsid w:val="007B78EC"/>
    <w:rsid w:val="007C3351"/>
    <w:rsid w:val="007D070C"/>
    <w:rsid w:val="007D6A86"/>
    <w:rsid w:val="007E236B"/>
    <w:rsid w:val="007E43F1"/>
    <w:rsid w:val="007E6966"/>
    <w:rsid w:val="007F196D"/>
    <w:rsid w:val="007F250B"/>
    <w:rsid w:val="007F3730"/>
    <w:rsid w:val="007F43DA"/>
    <w:rsid w:val="007F4E8C"/>
    <w:rsid w:val="008029AC"/>
    <w:rsid w:val="0081515F"/>
    <w:rsid w:val="00821954"/>
    <w:rsid w:val="008234BF"/>
    <w:rsid w:val="0082372F"/>
    <w:rsid w:val="0083081C"/>
    <w:rsid w:val="00832FDF"/>
    <w:rsid w:val="00844886"/>
    <w:rsid w:val="008527AC"/>
    <w:rsid w:val="00861521"/>
    <w:rsid w:val="008752AA"/>
    <w:rsid w:val="00876987"/>
    <w:rsid w:val="0087742A"/>
    <w:rsid w:val="00884121"/>
    <w:rsid w:val="00885A67"/>
    <w:rsid w:val="00890EEA"/>
    <w:rsid w:val="008A25D1"/>
    <w:rsid w:val="008A3763"/>
    <w:rsid w:val="008B332E"/>
    <w:rsid w:val="008D0485"/>
    <w:rsid w:val="008E1CF1"/>
    <w:rsid w:val="008F025E"/>
    <w:rsid w:val="0090683C"/>
    <w:rsid w:val="00920D24"/>
    <w:rsid w:val="009238CA"/>
    <w:rsid w:val="00923C88"/>
    <w:rsid w:val="00930952"/>
    <w:rsid w:val="00933395"/>
    <w:rsid w:val="00933F99"/>
    <w:rsid w:val="00961478"/>
    <w:rsid w:val="00963C7E"/>
    <w:rsid w:val="0096619D"/>
    <w:rsid w:val="00972502"/>
    <w:rsid w:val="00977054"/>
    <w:rsid w:val="00984D83"/>
    <w:rsid w:val="009A0CBC"/>
    <w:rsid w:val="009A2D82"/>
    <w:rsid w:val="009A7695"/>
    <w:rsid w:val="009B1188"/>
    <w:rsid w:val="009B4986"/>
    <w:rsid w:val="009C669B"/>
    <w:rsid w:val="009D04B2"/>
    <w:rsid w:val="009D0EA4"/>
    <w:rsid w:val="009D27D1"/>
    <w:rsid w:val="009D6334"/>
    <w:rsid w:val="009E1D0E"/>
    <w:rsid w:val="00A04030"/>
    <w:rsid w:val="00A047A6"/>
    <w:rsid w:val="00A0740C"/>
    <w:rsid w:val="00A11862"/>
    <w:rsid w:val="00A16CDA"/>
    <w:rsid w:val="00A31501"/>
    <w:rsid w:val="00A45214"/>
    <w:rsid w:val="00A4640A"/>
    <w:rsid w:val="00A62941"/>
    <w:rsid w:val="00A66CD2"/>
    <w:rsid w:val="00A7004A"/>
    <w:rsid w:val="00A74079"/>
    <w:rsid w:val="00A746EC"/>
    <w:rsid w:val="00A80770"/>
    <w:rsid w:val="00A836B6"/>
    <w:rsid w:val="00A86B09"/>
    <w:rsid w:val="00AA0E5F"/>
    <w:rsid w:val="00AB3CA4"/>
    <w:rsid w:val="00AB5F37"/>
    <w:rsid w:val="00AC2974"/>
    <w:rsid w:val="00AC3707"/>
    <w:rsid w:val="00AC55D7"/>
    <w:rsid w:val="00AC7797"/>
    <w:rsid w:val="00AC7FF2"/>
    <w:rsid w:val="00AE2555"/>
    <w:rsid w:val="00AE456F"/>
    <w:rsid w:val="00AE6292"/>
    <w:rsid w:val="00AF1454"/>
    <w:rsid w:val="00AF3205"/>
    <w:rsid w:val="00B011FF"/>
    <w:rsid w:val="00B10FCD"/>
    <w:rsid w:val="00B12B88"/>
    <w:rsid w:val="00B12E6B"/>
    <w:rsid w:val="00B1670A"/>
    <w:rsid w:val="00B1702E"/>
    <w:rsid w:val="00B24C33"/>
    <w:rsid w:val="00B30C78"/>
    <w:rsid w:val="00B511BE"/>
    <w:rsid w:val="00B550DD"/>
    <w:rsid w:val="00B65890"/>
    <w:rsid w:val="00B67396"/>
    <w:rsid w:val="00B72C35"/>
    <w:rsid w:val="00B7354F"/>
    <w:rsid w:val="00B75C0D"/>
    <w:rsid w:val="00B76F5B"/>
    <w:rsid w:val="00B81C6D"/>
    <w:rsid w:val="00B82578"/>
    <w:rsid w:val="00B836E0"/>
    <w:rsid w:val="00B86148"/>
    <w:rsid w:val="00B9419D"/>
    <w:rsid w:val="00B963F1"/>
    <w:rsid w:val="00BA2FA3"/>
    <w:rsid w:val="00BA6A82"/>
    <w:rsid w:val="00BC0022"/>
    <w:rsid w:val="00BC28B6"/>
    <w:rsid w:val="00BC2A29"/>
    <w:rsid w:val="00BD1361"/>
    <w:rsid w:val="00BD13F0"/>
    <w:rsid w:val="00BD6927"/>
    <w:rsid w:val="00BD76B9"/>
    <w:rsid w:val="00BE5861"/>
    <w:rsid w:val="00BF3833"/>
    <w:rsid w:val="00BF4BF3"/>
    <w:rsid w:val="00C0134D"/>
    <w:rsid w:val="00C04333"/>
    <w:rsid w:val="00C04EE2"/>
    <w:rsid w:val="00C0613A"/>
    <w:rsid w:val="00C063ED"/>
    <w:rsid w:val="00C11A1C"/>
    <w:rsid w:val="00C34130"/>
    <w:rsid w:val="00C422FC"/>
    <w:rsid w:val="00C43E9E"/>
    <w:rsid w:val="00C467DF"/>
    <w:rsid w:val="00C501BE"/>
    <w:rsid w:val="00C51884"/>
    <w:rsid w:val="00C561BB"/>
    <w:rsid w:val="00C60CFE"/>
    <w:rsid w:val="00C644F9"/>
    <w:rsid w:val="00C67830"/>
    <w:rsid w:val="00C71A85"/>
    <w:rsid w:val="00C90E4A"/>
    <w:rsid w:val="00C97596"/>
    <w:rsid w:val="00CA3A9E"/>
    <w:rsid w:val="00CA679C"/>
    <w:rsid w:val="00CB04B5"/>
    <w:rsid w:val="00CB3E78"/>
    <w:rsid w:val="00CC15C3"/>
    <w:rsid w:val="00CC1CE4"/>
    <w:rsid w:val="00CC3987"/>
    <w:rsid w:val="00CC45B0"/>
    <w:rsid w:val="00CC55F6"/>
    <w:rsid w:val="00CD30AA"/>
    <w:rsid w:val="00CD39BD"/>
    <w:rsid w:val="00CD538F"/>
    <w:rsid w:val="00CE3FA2"/>
    <w:rsid w:val="00CE5E63"/>
    <w:rsid w:val="00CF1E11"/>
    <w:rsid w:val="00CF70DD"/>
    <w:rsid w:val="00D00BA7"/>
    <w:rsid w:val="00D1426D"/>
    <w:rsid w:val="00D20E1A"/>
    <w:rsid w:val="00D219CD"/>
    <w:rsid w:val="00D25DBF"/>
    <w:rsid w:val="00D27420"/>
    <w:rsid w:val="00D320A5"/>
    <w:rsid w:val="00D4093B"/>
    <w:rsid w:val="00D61FEB"/>
    <w:rsid w:val="00D74657"/>
    <w:rsid w:val="00D74B18"/>
    <w:rsid w:val="00D750D9"/>
    <w:rsid w:val="00D800F7"/>
    <w:rsid w:val="00D924E2"/>
    <w:rsid w:val="00D95046"/>
    <w:rsid w:val="00D95E02"/>
    <w:rsid w:val="00D96AE2"/>
    <w:rsid w:val="00DB1390"/>
    <w:rsid w:val="00DC1D4E"/>
    <w:rsid w:val="00DD0E71"/>
    <w:rsid w:val="00DD48FF"/>
    <w:rsid w:val="00DE0D20"/>
    <w:rsid w:val="00DE6E4C"/>
    <w:rsid w:val="00DF281F"/>
    <w:rsid w:val="00E07C8F"/>
    <w:rsid w:val="00E11FC4"/>
    <w:rsid w:val="00E13963"/>
    <w:rsid w:val="00E167F5"/>
    <w:rsid w:val="00E177DE"/>
    <w:rsid w:val="00E31969"/>
    <w:rsid w:val="00E425E6"/>
    <w:rsid w:val="00E436C5"/>
    <w:rsid w:val="00E4550C"/>
    <w:rsid w:val="00E45EBE"/>
    <w:rsid w:val="00E520BB"/>
    <w:rsid w:val="00E52513"/>
    <w:rsid w:val="00E54646"/>
    <w:rsid w:val="00E6503C"/>
    <w:rsid w:val="00E665AE"/>
    <w:rsid w:val="00E67232"/>
    <w:rsid w:val="00E70C6B"/>
    <w:rsid w:val="00E81298"/>
    <w:rsid w:val="00E816ED"/>
    <w:rsid w:val="00E865D6"/>
    <w:rsid w:val="00EA0952"/>
    <w:rsid w:val="00EB5C45"/>
    <w:rsid w:val="00EB7A49"/>
    <w:rsid w:val="00EC7B9B"/>
    <w:rsid w:val="00ED2EB2"/>
    <w:rsid w:val="00ED53F9"/>
    <w:rsid w:val="00ED6E2B"/>
    <w:rsid w:val="00EE0FE9"/>
    <w:rsid w:val="00EE3AB9"/>
    <w:rsid w:val="00EE725A"/>
    <w:rsid w:val="00EF0F58"/>
    <w:rsid w:val="00EF1F69"/>
    <w:rsid w:val="00EF3563"/>
    <w:rsid w:val="00F01084"/>
    <w:rsid w:val="00F04D06"/>
    <w:rsid w:val="00F05C73"/>
    <w:rsid w:val="00F11B16"/>
    <w:rsid w:val="00F1211A"/>
    <w:rsid w:val="00F15F98"/>
    <w:rsid w:val="00F25CC9"/>
    <w:rsid w:val="00F35BBE"/>
    <w:rsid w:val="00F41038"/>
    <w:rsid w:val="00F47CBA"/>
    <w:rsid w:val="00F5230C"/>
    <w:rsid w:val="00F531E1"/>
    <w:rsid w:val="00F534D1"/>
    <w:rsid w:val="00F54062"/>
    <w:rsid w:val="00F55506"/>
    <w:rsid w:val="00F65849"/>
    <w:rsid w:val="00F70775"/>
    <w:rsid w:val="00F708ED"/>
    <w:rsid w:val="00F82476"/>
    <w:rsid w:val="00F83A75"/>
    <w:rsid w:val="00F86A0F"/>
    <w:rsid w:val="00F8710B"/>
    <w:rsid w:val="00F9108B"/>
    <w:rsid w:val="00F92433"/>
    <w:rsid w:val="00FB10E0"/>
    <w:rsid w:val="00FB2DD8"/>
    <w:rsid w:val="00FB327F"/>
    <w:rsid w:val="00FC487D"/>
    <w:rsid w:val="00FC7C72"/>
    <w:rsid w:val="00FD0300"/>
    <w:rsid w:val="00FD3559"/>
    <w:rsid w:val="00FE2FE5"/>
    <w:rsid w:val="00FE3AA9"/>
    <w:rsid w:val="00FE7FDB"/>
    <w:rsid w:val="00FF1838"/>
    <w:rsid w:val="00FF1F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E11"/>
  </w:style>
  <w:style w:type="paragraph" w:styleId="1">
    <w:name w:val="heading 1"/>
    <w:basedOn w:val="a"/>
    <w:next w:val="a"/>
    <w:link w:val="10"/>
    <w:uiPriority w:val="9"/>
    <w:qFormat/>
    <w:rsid w:val="001255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A6294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2E6B"/>
    <w:rPr>
      <w:color w:val="0000FF" w:themeColor="hyperlink"/>
      <w:u w:val="single"/>
    </w:rPr>
  </w:style>
  <w:style w:type="paragraph" w:customStyle="1" w:styleId="jui">
    <w:name w:val="jui"/>
    <w:basedOn w:val="a"/>
    <w:rsid w:val="00B12E6B"/>
    <w:pPr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12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2E6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A6294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7F1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561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1C09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8A37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A376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okmark">
    <w:name w:val="bookmark"/>
    <w:basedOn w:val="a0"/>
    <w:rsid w:val="008A3763"/>
  </w:style>
  <w:style w:type="character" w:styleId="a8">
    <w:name w:val="Strong"/>
    <w:basedOn w:val="a0"/>
    <w:uiPriority w:val="22"/>
    <w:qFormat/>
    <w:rsid w:val="00275D4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255C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9">
    <w:name w:val="header"/>
    <w:basedOn w:val="a"/>
    <w:link w:val="aa"/>
    <w:uiPriority w:val="99"/>
    <w:unhideWhenUsed/>
    <w:rsid w:val="00D25D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25DBF"/>
  </w:style>
  <w:style w:type="paragraph" w:styleId="ab">
    <w:name w:val="footer"/>
    <w:basedOn w:val="a"/>
    <w:link w:val="ac"/>
    <w:uiPriority w:val="99"/>
    <w:unhideWhenUsed/>
    <w:rsid w:val="00D25D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25D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842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59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51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5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1393">
          <w:marLeft w:val="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1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380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735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2032E-DAD5-425B-8592-98EDCFC25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5</Pages>
  <Words>1917</Words>
  <Characters>10931</Characters>
  <Application>Microsoft Office Word</Application>
  <DocSecurity>0</DocSecurity>
  <Lines>91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Постановление Правительства РФ от 2 августа 2019 г. № 1006 "Об утверждении требо</vt:lpstr>
      <vt:lpstr>ГОСТ Р 56228-2014 Освещение искусственное. Термины                       и опред</vt:lpstr>
      <vt:lpstr>ГОСТ 24940-2016 Здания и сооружения. Методы измерения освещенности;</vt:lpstr>
      <vt:lpstr>СНиП 23-05-95 Естественное и искусственное освещение.</vt:lpstr>
    </vt:vector>
  </TitlesOfParts>
  <Company>SPecialiST RePack</Company>
  <LinksUpToDate>false</LinksUpToDate>
  <CharactersWithSpaces>12823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25</cp:revision>
  <cp:lastPrinted>2020-04-24T07:16:00Z</cp:lastPrinted>
  <dcterms:created xsi:type="dcterms:W3CDTF">2019-07-03T06:22:00Z</dcterms:created>
  <dcterms:modified xsi:type="dcterms:W3CDTF">2020-04-24T10:32:00Z</dcterms:modified>
</cp:coreProperties>
</file>