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F" w:rsidRPr="00AC7797" w:rsidRDefault="00D25DBF" w:rsidP="00670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97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AC77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7797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B12E6B" w:rsidRPr="00AC7797" w:rsidRDefault="008234BF" w:rsidP="00670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97">
        <w:rPr>
          <w:rFonts w:ascii="Times New Roman" w:hAnsi="Times New Roman" w:cs="Times New Roman"/>
          <w:b/>
          <w:sz w:val="28"/>
          <w:szCs w:val="28"/>
        </w:rPr>
        <w:t>о степени антитеррористической защищенности социально-значимых объектов и мест с массовым пребыванием людей на территории городского округа город Нефтекамск Республики Башкортостан</w:t>
      </w:r>
    </w:p>
    <w:p w:rsidR="00237BB4" w:rsidRPr="00AC7797" w:rsidRDefault="00237BB4" w:rsidP="006703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4BF" w:rsidRPr="00AC7797" w:rsidRDefault="008234BF" w:rsidP="0067034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BF" w:rsidRPr="00AC7797" w:rsidRDefault="008234BF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В наши дни терроризм приобретает более современные формы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и принимает угрожающие масштабы. Он становится все более изощренным </w:t>
      </w:r>
      <w:r w:rsidR="009D27D1">
        <w:rPr>
          <w:rFonts w:ascii="Times New Roman" w:hAnsi="Times New Roman" w:cs="Times New Roman"/>
          <w:sz w:val="28"/>
          <w:szCs w:val="28"/>
        </w:rPr>
        <w:t xml:space="preserve">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и жестоким. Растет уровень финансовых возможностей и технической оснащенности террористических организаций. Террористы не останавливаются ни перед чем и готовы применять для достижения своих целей любые средства. В связи с этим, перед специалистами, обеспечивающими выполнение комплекса антитеррористических мероприятий, возникают дополнительные задачи по выработке и принятию таких мер по противодействию терроризму, которые стали бы адекватны представляемой им угрозе, учитывали бы все многообразие форм его проявления. </w:t>
      </w:r>
    </w:p>
    <w:p w:rsidR="008234BF" w:rsidRPr="00AC7797" w:rsidRDefault="008234BF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Общую координацию деятельности, направленной на обеспечение безопасности и антитеррористической защищенности объектов социальной сферы, транспортной инфраструктуры, мест с массовым пребыванием людей осуществляет антитеррористическая комиссия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>.</w:t>
      </w:r>
      <w:r w:rsidR="00AC7797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 xml:space="preserve">Нефтекамск.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7797">
        <w:rPr>
          <w:rFonts w:ascii="Times New Roman" w:hAnsi="Times New Roman" w:cs="Times New Roman"/>
          <w:sz w:val="28"/>
          <w:szCs w:val="28"/>
        </w:rPr>
        <w:t>Её деятельность способствует повышению уровня антитеррористической защищенности, как объектов муниципальной собственности, так и иных социально-значимых объектов, расположенных на территории города.</w:t>
      </w:r>
      <w:r w:rsidR="00746B53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B53" w:rsidRPr="00AC7797">
        <w:rPr>
          <w:rFonts w:ascii="Times New Roman" w:hAnsi="Times New Roman" w:cs="Times New Roman"/>
          <w:sz w:val="28"/>
          <w:szCs w:val="28"/>
        </w:rPr>
        <w:t xml:space="preserve">В состав антитеррористической комиссии входят должностные лица правоохранительных органов, муниципальных учреждений культуры, спорта, образования, гражданской защиты, Совета городского округа, а также заместители главы администрации. Председателем комиссии является глава администрации. </w:t>
      </w:r>
      <w:r w:rsidR="002A1157" w:rsidRPr="00AC7797">
        <w:rPr>
          <w:rFonts w:ascii="Times New Roman" w:hAnsi="Times New Roman" w:cs="Times New Roman"/>
          <w:sz w:val="28"/>
          <w:szCs w:val="28"/>
        </w:rPr>
        <w:t>Решение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2A1157" w:rsidRPr="00AC7797">
        <w:rPr>
          <w:rFonts w:ascii="Times New Roman" w:hAnsi="Times New Roman" w:cs="Times New Roman"/>
          <w:sz w:val="28"/>
          <w:szCs w:val="28"/>
        </w:rPr>
        <w:t xml:space="preserve">Нефтекамск от 27.02.2020 г. приняты функциональные обязанности каждого члена АТК в соответствии с его компетенциями. </w:t>
      </w:r>
    </w:p>
    <w:p w:rsidR="008234BF" w:rsidRPr="00AC7797" w:rsidRDefault="00746B5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К основным нормативным правовым актам, регламентирующим вопросы антитеррористической защищенности ММПЛ, относятся: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</w:t>
      </w:r>
      <w:r w:rsidR="00B81C6D" w:rsidRPr="00AC7797">
        <w:rPr>
          <w:rFonts w:ascii="Times New Roman" w:hAnsi="Times New Roman" w:cs="Times New Roman"/>
          <w:sz w:val="28"/>
          <w:szCs w:val="28"/>
        </w:rPr>
        <w:t>рации</w:t>
      </w:r>
      <w:r w:rsidRPr="00AC7797">
        <w:rPr>
          <w:rFonts w:ascii="Times New Roman" w:hAnsi="Times New Roman" w:cs="Times New Roman"/>
          <w:sz w:val="28"/>
          <w:szCs w:val="28"/>
        </w:rPr>
        <w:t xml:space="preserve">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Федеральный закон от 27 декабря 2002 года № 184-ФЗ «О техническом регулировании»;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Федеральный закон от 6 октября 2003 года № 131-Ф3 «Об общих принципах организации местного самоуправления в Российской Федерации»;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Федеральный закон от 6 марта 2006 года № 35-Ф3 «О противодействии терроризму»;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Федеральный закон от 30 декабря 2009 года № 384-Ф3 «Технический регламент о безопасности зданий и сооружений»</w:t>
      </w:r>
      <w:r w:rsidR="00A86B09">
        <w:rPr>
          <w:rFonts w:ascii="Times New Roman" w:hAnsi="Times New Roman" w:cs="Times New Roman"/>
          <w:sz w:val="28"/>
          <w:szCs w:val="28"/>
        </w:rPr>
        <w:t>.</w:t>
      </w:r>
    </w:p>
    <w:p w:rsidR="008234BF" w:rsidRPr="00AC7797" w:rsidRDefault="00746B5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797">
        <w:rPr>
          <w:rFonts w:ascii="Times New Roman" w:hAnsi="Times New Roman" w:cs="Times New Roman"/>
          <w:sz w:val="28"/>
          <w:szCs w:val="28"/>
        </w:rPr>
        <w:t xml:space="preserve">Основные критерии по определению перечня ММПЛ (далее – Перечень) содержатся в пункте 6 статьи 3 Федерального закона «О противодействии терроризму», согласно которому под ММПЛ понимается </w:t>
      </w:r>
      <w:r w:rsidRPr="00AC7797">
        <w:rPr>
          <w:rFonts w:ascii="Times New Roman" w:hAnsi="Times New Roman" w:cs="Times New Roman"/>
          <w:sz w:val="28"/>
          <w:szCs w:val="28"/>
        </w:rPr>
        <w:lastRenderedPageBreak/>
        <w:t>территория общего пользования поселения или городского округа, либо специально отведённая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. При этом территория иных муниципальных образований, сформированных в соответствии с Федеральным законом «Об общих принципах организации местного самоуправления в Российской Федерации» (муниципальный район, городской округ с внутригородским делением, внутригородской район, внутригородская территория города федерального значения), в названном пункте не указана. Учитывая, что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797">
        <w:rPr>
          <w:rFonts w:ascii="Times New Roman" w:hAnsi="Times New Roman" w:cs="Times New Roman"/>
          <w:sz w:val="28"/>
          <w:szCs w:val="28"/>
        </w:rPr>
        <w:t>в данном понятии используется словосочетание «при определенных условиях», не каждое общественное место или место общего пользования, площадь которого позволяет разместить более 50 человек, может включаться в перечень ММПЛ.</w:t>
      </w:r>
    </w:p>
    <w:p w:rsidR="00703DAA" w:rsidRPr="00AC7797" w:rsidRDefault="00746B53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В нормативных правовых актах содержание формулировки «определенные условия» не раскрывается. Между тем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>Нефтекамск</w:t>
      </w:r>
      <w:r w:rsidR="00703DAA" w:rsidRPr="00AC7797">
        <w:rPr>
          <w:rFonts w:ascii="Times New Roman" w:hAnsi="Times New Roman" w:cs="Times New Roman"/>
          <w:sz w:val="28"/>
          <w:szCs w:val="28"/>
        </w:rPr>
        <w:t>,</w:t>
      </w:r>
      <w:r w:rsidRPr="00AC7797">
        <w:rPr>
          <w:rFonts w:ascii="Times New Roman" w:hAnsi="Times New Roman" w:cs="Times New Roman"/>
          <w:sz w:val="28"/>
          <w:szCs w:val="28"/>
        </w:rPr>
        <w:t xml:space="preserve"> при формировании перечня ММПЛ</w:t>
      </w:r>
      <w:r w:rsidR="00703DAA" w:rsidRPr="00AC7797">
        <w:rPr>
          <w:rFonts w:ascii="Times New Roman" w:hAnsi="Times New Roman" w:cs="Times New Roman"/>
          <w:sz w:val="28"/>
          <w:szCs w:val="28"/>
        </w:rPr>
        <w:t>,</w:t>
      </w:r>
      <w:r w:rsidRPr="00AC7797">
        <w:rPr>
          <w:rFonts w:ascii="Times New Roman" w:hAnsi="Times New Roman" w:cs="Times New Roman"/>
          <w:sz w:val="28"/>
          <w:szCs w:val="28"/>
        </w:rPr>
        <w:t xml:space="preserve"> к данным условиям относят, например, время суток и (или) </w:t>
      </w:r>
      <w:r w:rsidR="00703DAA" w:rsidRPr="00AC7797">
        <w:rPr>
          <w:rFonts w:ascii="Times New Roman" w:hAnsi="Times New Roman" w:cs="Times New Roman"/>
          <w:sz w:val="28"/>
          <w:szCs w:val="28"/>
        </w:rPr>
        <w:t>года, выходной или праздничный</w:t>
      </w:r>
      <w:r w:rsidRPr="00AC7797">
        <w:rPr>
          <w:rFonts w:ascii="Times New Roman" w:hAnsi="Times New Roman" w:cs="Times New Roman"/>
          <w:sz w:val="28"/>
          <w:szCs w:val="28"/>
        </w:rPr>
        <w:t xml:space="preserve"> день, торжественное мероприятие и иные условия, при соблюдении которых на территории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797">
        <w:rPr>
          <w:rFonts w:ascii="Times New Roman" w:hAnsi="Times New Roman" w:cs="Times New Roman"/>
          <w:sz w:val="28"/>
          <w:szCs w:val="28"/>
        </w:rPr>
        <w:t>(в месте) возможно нахождение людей числом более 50. При этом данные условия важны также для определения требований, которыми следует руководствоваться при осуществлении антитеррористической защищенности. Например, если в лесопарковой зоне еженедельно проходят массовые оздоровительные пробежки граждан,</w:t>
      </w:r>
      <w:r w:rsidR="00703DAA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A86B09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3DAA" w:rsidRPr="00AC7797">
        <w:rPr>
          <w:rFonts w:ascii="Times New Roman" w:hAnsi="Times New Roman" w:cs="Times New Roman"/>
          <w:sz w:val="28"/>
          <w:szCs w:val="28"/>
        </w:rPr>
        <w:t xml:space="preserve">данное место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3DAA" w:rsidRPr="00AC7797">
        <w:rPr>
          <w:rFonts w:ascii="Times New Roman" w:hAnsi="Times New Roman" w:cs="Times New Roman"/>
          <w:sz w:val="28"/>
          <w:szCs w:val="28"/>
        </w:rPr>
        <w:t>на постоянной основе посещают более 50 человек</w:t>
      </w:r>
      <w:r w:rsidR="00A86B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03DAA" w:rsidRPr="00AC7797">
        <w:rPr>
          <w:rFonts w:ascii="Times New Roman" w:hAnsi="Times New Roman" w:cs="Times New Roman"/>
          <w:sz w:val="28"/>
          <w:szCs w:val="28"/>
        </w:rPr>
        <w:t xml:space="preserve"> то место следует включать в Перечень со всеми вытекающими последствиями. Обновленная </w:t>
      </w:r>
      <w:r w:rsidR="002A1157" w:rsidRPr="00AC7797">
        <w:rPr>
          <w:rFonts w:ascii="Times New Roman" w:hAnsi="Times New Roman" w:cs="Times New Roman"/>
          <w:sz w:val="28"/>
          <w:szCs w:val="28"/>
        </w:rPr>
        <w:t>Т</w:t>
      </w:r>
      <w:r w:rsidR="00703DAA" w:rsidRPr="00AC7797">
        <w:rPr>
          <w:rFonts w:ascii="Times New Roman" w:hAnsi="Times New Roman" w:cs="Times New Roman"/>
          <w:sz w:val="28"/>
          <w:szCs w:val="28"/>
        </w:rPr>
        <w:t>ропа здоровья, с учетом новых и планируемых дорожек была включен</w:t>
      </w:r>
      <w:r w:rsidR="00387793" w:rsidRPr="00AC7797">
        <w:rPr>
          <w:rFonts w:ascii="Times New Roman" w:hAnsi="Times New Roman" w:cs="Times New Roman"/>
          <w:sz w:val="28"/>
          <w:szCs w:val="28"/>
        </w:rPr>
        <w:t>а</w:t>
      </w:r>
      <w:r w:rsidR="00703DAA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9D27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3DAA" w:rsidRPr="00AC7797">
        <w:rPr>
          <w:rFonts w:ascii="Times New Roman" w:hAnsi="Times New Roman" w:cs="Times New Roman"/>
          <w:sz w:val="28"/>
          <w:szCs w:val="28"/>
        </w:rPr>
        <w:t>в Перечень</w:t>
      </w:r>
      <w:r w:rsidR="00275D4B" w:rsidRPr="00AC7797">
        <w:rPr>
          <w:rFonts w:ascii="Times New Roman" w:hAnsi="Times New Roman" w:cs="Times New Roman"/>
          <w:sz w:val="28"/>
          <w:szCs w:val="28"/>
        </w:rPr>
        <w:t xml:space="preserve"> ММПЛ членами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="00275D4B" w:rsidRPr="00AC7797">
        <w:rPr>
          <w:rFonts w:ascii="Times New Roman" w:hAnsi="Times New Roman" w:cs="Times New Roman"/>
          <w:sz w:val="28"/>
          <w:szCs w:val="28"/>
        </w:rPr>
        <w:t>Нефтекамск в конце 2019 года.</w:t>
      </w:r>
    </w:p>
    <w:p w:rsidR="00275D4B" w:rsidRPr="00AC7797" w:rsidRDefault="00275D4B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По аналогии с Тропой здоровья в Перечень ММПЛ также включена территория Парка культуры и отдыха. На указанной территории при определенных условиях (праздники, спортивные, культурные и иные массовые мероприятия) может одновременно находится более 50 человек. </w:t>
      </w:r>
    </w:p>
    <w:p w:rsidR="008234BF" w:rsidRPr="00AC7797" w:rsidRDefault="00746B5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В Перечень не включаются также территории (места), на которых при определенных условиях может одновременно находиться более пятидесяти человек, но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 которых являются федеральные органы исполнительной власти и Государственная корпорация по атомной энергии «</w:t>
      </w:r>
      <w:proofErr w:type="spellStart"/>
      <w:r w:rsidRPr="00AC779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C7797">
        <w:rPr>
          <w:rFonts w:ascii="Times New Roman" w:hAnsi="Times New Roman" w:cs="Times New Roman"/>
          <w:sz w:val="28"/>
          <w:szCs w:val="28"/>
        </w:rPr>
        <w:t>» или которые относятся к сфере их деятельности, предполагающей использование территории (места), подлежащего антитеррористической защите (например, школы, поликлиники, больницы, дошкольные детские учреждения, объекты спорта, театры, концертные залы), а также объекты (территории) подлежащие обязательной охране полицией.</w:t>
      </w:r>
    </w:p>
    <w:p w:rsidR="008234BF" w:rsidRPr="00AC7797" w:rsidRDefault="00387793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В отношении таких территорий (мест) действуют положения иных нормативных правовых актов. Например, в соответствии с пунктом 4 части 2 </w:t>
      </w:r>
      <w:r w:rsidRPr="00AC7797">
        <w:rPr>
          <w:rFonts w:ascii="Times New Roman" w:hAnsi="Times New Roman" w:cs="Times New Roman"/>
          <w:sz w:val="28"/>
          <w:szCs w:val="28"/>
        </w:rPr>
        <w:lastRenderedPageBreak/>
        <w:t>статьи 5 Федерального закона «О противодействии терроризму», утверждены требования к антитеррористической защищенности объектов</w:t>
      </w:r>
      <w:r w:rsidR="00275D4B" w:rsidRPr="00AC7797">
        <w:rPr>
          <w:rFonts w:ascii="Times New Roman" w:hAnsi="Times New Roman" w:cs="Times New Roman"/>
          <w:sz w:val="28"/>
          <w:szCs w:val="28"/>
        </w:rPr>
        <w:t>.</w:t>
      </w:r>
    </w:p>
    <w:p w:rsidR="00275D4B" w:rsidRPr="00AC7797" w:rsidRDefault="00275D4B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Так в области обеспечения антитерро</w:t>
      </w:r>
      <w:r w:rsidR="00186E29" w:rsidRPr="00AC7797">
        <w:rPr>
          <w:rFonts w:ascii="Times New Roman" w:hAnsi="Times New Roman" w:cs="Times New Roman"/>
          <w:sz w:val="28"/>
          <w:szCs w:val="28"/>
        </w:rPr>
        <w:t>ри</w:t>
      </w:r>
      <w:r w:rsidRPr="00AC7797">
        <w:rPr>
          <w:rFonts w:ascii="Times New Roman" w:hAnsi="Times New Roman" w:cs="Times New Roman"/>
          <w:sz w:val="28"/>
          <w:szCs w:val="28"/>
        </w:rPr>
        <w:t xml:space="preserve">стической защищенности социально-значимых объектов действующих на территории городского округа следует выделить: </w:t>
      </w:r>
    </w:p>
    <w:p w:rsidR="00275D4B" w:rsidRPr="00AC7797" w:rsidRDefault="00275D4B" w:rsidP="00A86B09">
      <w:pPr>
        <w:spacing w:after="0" w:line="240" w:lineRule="auto"/>
        <w:ind w:right="-1" w:firstLine="709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Постановление Правительства РФ от 11 февраля 2017 г. </w:t>
      </w:r>
      <w:r w:rsidR="00AC7797"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№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176 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  <w:r w:rsidR="00186E29"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устанавливающий требования к объектам культуры.</w:t>
      </w:r>
    </w:p>
    <w:p w:rsidR="00186E29" w:rsidRPr="00AC7797" w:rsidRDefault="00186E29" w:rsidP="00A86B09">
      <w:pPr>
        <w:spacing w:after="0" w:line="240" w:lineRule="auto"/>
        <w:ind w:right="-1" w:firstLine="709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13 января 2017 г. </w:t>
      </w:r>
      <w:r w:rsidR="00AC7797"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8 "Об утверждении требований к антитеррористической защищенности объектов (территорий) Министерства здравоохранения Российской Федерации </w:t>
      </w:r>
      <w:r w:rsidR="009D27D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 </w:t>
      </w: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устанавливающий требования к объектам здравоохранения. </w:t>
      </w:r>
    </w:p>
    <w:p w:rsidR="00186E29" w:rsidRPr="00AC7797" w:rsidRDefault="00186E29" w:rsidP="00A86B09">
      <w:pPr>
        <w:spacing w:after="0" w:line="240" w:lineRule="auto"/>
        <w:ind w:right="-1" w:firstLine="709"/>
        <w:contextualSpacing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C779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Постановление Правительства РФ от 6 марта 2015 г. N 202 "Об утверждении требований к антитеррористической защищенности объектов спорта и формы паспорта безопасности объектов спорта" устанавливающий требования соответственно к объектам спорта. </w:t>
      </w:r>
    </w:p>
    <w:p w:rsidR="001255CA" w:rsidRPr="00AC7797" w:rsidRDefault="001255CA" w:rsidP="00A86B0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797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РФ от 2 августа 2019 г. </w:t>
      </w:r>
      <w:r w:rsidR="009D27D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C7797">
        <w:rPr>
          <w:rFonts w:ascii="Times New Roman" w:hAnsi="Times New Roman" w:cs="Times New Roman"/>
          <w:color w:val="auto"/>
          <w:sz w:val="28"/>
          <w:szCs w:val="28"/>
        </w:rPr>
        <w:t> 1006</w:t>
      </w:r>
      <w:r w:rsidRPr="00AC7797">
        <w:rPr>
          <w:rFonts w:ascii="Times New Roman" w:hAnsi="Times New Roman" w:cs="Times New Roman"/>
          <w:color w:val="auto"/>
          <w:sz w:val="28"/>
          <w:szCs w:val="28"/>
        </w:rPr>
        <w:br/>
        <w:t xml:space="preserve">"Об утверждении требований к антитеррористической защищенности объектов (территорий) Министерства просвещения Российской Федерации </w:t>
      </w:r>
      <w:r w:rsidR="009D27D1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AC7797">
        <w:rPr>
          <w:rFonts w:ascii="Times New Roman" w:hAnsi="Times New Roman" w:cs="Times New Roman"/>
          <w:color w:val="auto"/>
          <w:sz w:val="28"/>
          <w:szCs w:val="28"/>
        </w:rPr>
        <w:t xml:space="preserve">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устанавливающий </w:t>
      </w:r>
      <w:r w:rsidR="004E14FA" w:rsidRPr="00AC779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AC7797">
        <w:rPr>
          <w:rFonts w:ascii="Times New Roman" w:hAnsi="Times New Roman" w:cs="Times New Roman"/>
          <w:color w:val="auto"/>
          <w:sz w:val="28"/>
          <w:szCs w:val="28"/>
        </w:rPr>
        <w:t xml:space="preserve"> к объектам образования.</w:t>
      </w:r>
    </w:p>
    <w:p w:rsidR="001255CA" w:rsidRPr="00AC7797" w:rsidRDefault="001255CA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BF" w:rsidRPr="00AC7797" w:rsidRDefault="0038779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Вопросы организационного характера при формировании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7797">
        <w:rPr>
          <w:rFonts w:ascii="Times New Roman" w:hAnsi="Times New Roman" w:cs="Times New Roman"/>
          <w:sz w:val="28"/>
          <w:szCs w:val="28"/>
        </w:rPr>
        <w:t>и согласовании Перечня определяются председателем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 xml:space="preserve">Нефтекамск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 </w:t>
      </w:r>
      <w:r w:rsidRPr="00AC7797">
        <w:rPr>
          <w:rFonts w:ascii="Times New Roman" w:hAnsi="Times New Roman" w:cs="Times New Roman"/>
          <w:sz w:val="28"/>
          <w:szCs w:val="28"/>
        </w:rPr>
        <w:t>с обязательным вынесением вопроса на заседание АТК. Также предложения о включении того или иного объекта в перечень направляются членами АТК г.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>Нефтекамск.</w:t>
      </w:r>
    </w:p>
    <w:p w:rsidR="008234BF" w:rsidRPr="00AC7797" w:rsidRDefault="0038779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>В согласовании Перечней в обязательном порядке участвуют территориальные органы безопасности, территориальные органы МВД России и МЧС России.</w:t>
      </w:r>
    </w:p>
    <w:p w:rsidR="008234BF" w:rsidRPr="00AC7797" w:rsidRDefault="00387793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Перечень ММПЛ включено </w:t>
      </w:r>
      <w:r w:rsidR="003B535E"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Все объекты обследованы и им присвоены категории. Паспорта безопасности имеют </w:t>
      </w:r>
      <w:r w:rsidR="003B535E"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объектов. </w:t>
      </w:r>
      <w:r w:rsidR="003B535E"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паспорта безопасности находятся </w:t>
      </w:r>
      <w:r w:rsidR="009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согласовании.</w:t>
      </w:r>
    </w:p>
    <w:p w:rsidR="008A3763" w:rsidRPr="00AC7797" w:rsidRDefault="008A3763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К ММПЛ в зависимости от присвоенной категории предъявляются требований к антитеррористической защищенности в соответствии </w:t>
      </w:r>
      <w:r w:rsidR="00A86B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№272 от 25.03.2015 г. «Об утверждении требований к антитеррористической защищенности мест </w:t>
      </w:r>
      <w:r w:rsidRPr="00AC7797">
        <w:rPr>
          <w:rFonts w:ascii="Times New Roman" w:hAnsi="Times New Roman" w:cs="Times New Roman"/>
          <w:sz w:val="28"/>
          <w:szCs w:val="28"/>
        </w:rPr>
        <w:lastRenderedPageBreak/>
        <w:t xml:space="preserve">массового пребывания людей и объектов (территорий), подлежащих обязательной охране полицией, и форм паспортов безопасности таких мест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</w:t>
      </w:r>
      <w:r w:rsidRPr="00AC7797">
        <w:rPr>
          <w:rFonts w:ascii="Times New Roman" w:hAnsi="Times New Roman" w:cs="Times New Roman"/>
          <w:sz w:val="28"/>
          <w:szCs w:val="28"/>
        </w:rPr>
        <w:t>и объектов (территорий)»</w:t>
      </w:r>
      <w:r w:rsidR="00D25DBF" w:rsidRPr="00AC7797">
        <w:rPr>
          <w:rFonts w:ascii="Times New Roman" w:hAnsi="Times New Roman" w:cs="Times New Roman"/>
          <w:sz w:val="28"/>
          <w:szCs w:val="28"/>
        </w:rPr>
        <w:t>.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>Особое внимание депутатов</w:t>
      </w:r>
      <w:r w:rsidR="004E14FA" w:rsidRPr="00AC7797">
        <w:rPr>
          <w:rFonts w:ascii="Times New Roman" w:hAnsi="Times New Roman" w:cs="Times New Roman"/>
          <w:color w:val="000000"/>
          <w:sz w:val="28"/>
          <w:szCs w:val="28"/>
        </w:rPr>
        <w:t xml:space="preserve"> и коллег</w:t>
      </w:r>
      <w:r w:rsidRPr="00AC7797">
        <w:rPr>
          <w:rFonts w:ascii="Times New Roman" w:hAnsi="Times New Roman" w:cs="Times New Roman"/>
          <w:color w:val="000000"/>
          <w:sz w:val="28"/>
          <w:szCs w:val="28"/>
        </w:rPr>
        <w:t xml:space="preserve"> хочется остановить </w:t>
      </w:r>
      <w:r w:rsidR="009B11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C7797">
        <w:rPr>
          <w:rFonts w:ascii="Times New Roman" w:hAnsi="Times New Roman" w:cs="Times New Roman"/>
          <w:color w:val="000000"/>
          <w:sz w:val="28"/>
          <w:szCs w:val="28"/>
        </w:rPr>
        <w:t>на следующем.</w:t>
      </w:r>
    </w:p>
    <w:p w:rsidR="008A3763" w:rsidRPr="00AC7797" w:rsidRDefault="008A3763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 xml:space="preserve">Все места массового пребывания людей независимо от установленной категории </w:t>
      </w:r>
      <w:r w:rsidR="004E14FA" w:rsidRPr="00AC7797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</w:t>
      </w:r>
      <w:r w:rsidRPr="00AC77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3763" w:rsidRPr="00AC7797" w:rsidRDefault="008A3763" w:rsidP="00A86B09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>а) системой видеонаблюдения;</w:t>
      </w:r>
    </w:p>
    <w:p w:rsidR="008A3763" w:rsidRPr="00AC7797" w:rsidRDefault="008A3763" w:rsidP="00A86B09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>б) системой оповещения и управления эвакуацией;</w:t>
      </w:r>
    </w:p>
    <w:p w:rsidR="008A3763" w:rsidRPr="00AC7797" w:rsidRDefault="008A3763" w:rsidP="00A86B09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color w:val="000000"/>
          <w:sz w:val="28"/>
          <w:szCs w:val="28"/>
        </w:rPr>
        <w:t>в) системой освещения.</w:t>
      </w:r>
    </w:p>
    <w:p w:rsidR="008A3763" w:rsidRPr="00AC7797" w:rsidRDefault="008A3763" w:rsidP="00A86B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779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AC779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 члены АТК, правоохранительные и иные контроль-надзорные органы уделяют особое внимание. </w:t>
      </w:r>
    </w:p>
    <w:p w:rsidR="005463E0" w:rsidRPr="00AC7797" w:rsidRDefault="005463E0" w:rsidP="00A86B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Система видеонаблюдения предназначена для визуального контроля обстановки в выделенных зонах, анализа нештатных ситуаций, проверки поступающих сигналов тревоги, оказания помощи в принятии оперативных решений, документирования данных видеонаблюдения.</w:t>
      </w:r>
    </w:p>
    <w:p w:rsidR="006D4109" w:rsidRPr="00AC7797" w:rsidRDefault="006D4109" w:rsidP="00A86B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Система видеонаблюдения в ММПЛ организуется с учётом требований: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 51558-2008 «Средства и системы охранные телевизионные. Классификация. Общие технические требования и методы испытаний»; </w:t>
      </w:r>
      <w:r w:rsidR="00A86B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 78.36.032-2014. </w:t>
      </w:r>
      <w:proofErr w:type="gramStart"/>
      <w:r w:rsidRPr="00AC7797">
        <w:rPr>
          <w:rFonts w:ascii="Times New Roman" w:hAnsi="Times New Roman" w:cs="Times New Roman"/>
          <w:sz w:val="28"/>
          <w:szCs w:val="28"/>
        </w:rPr>
        <w:t>Инженерно-техническая</w:t>
      </w:r>
      <w:proofErr w:type="gramEnd"/>
      <w:r w:rsidRPr="00AC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797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AC7797">
        <w:rPr>
          <w:rFonts w:ascii="Times New Roman" w:hAnsi="Times New Roman" w:cs="Times New Roman"/>
          <w:sz w:val="28"/>
          <w:szCs w:val="28"/>
        </w:rPr>
        <w:t xml:space="preserve"> и оснащение техническими средствами охраны объектов, квартир и МХИГ, принимаемых под централизованную охрану подразделениями вневедомственной охраны. Часть 2. Квартиры и МХИГ. Методические рекомендации.</w:t>
      </w:r>
    </w:p>
    <w:p w:rsidR="008234BF" w:rsidRPr="00AC7797" w:rsidRDefault="00387793" w:rsidP="00A86B0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>Обеспечению антитеррористической защищенности ММПЛ способствует построение и развитие аппаратно-программног</w:t>
      </w:r>
      <w:r w:rsidR="008A3763" w:rsidRPr="00AC7797">
        <w:rPr>
          <w:rFonts w:ascii="Times New Roman" w:hAnsi="Times New Roman" w:cs="Times New Roman"/>
          <w:sz w:val="28"/>
          <w:szCs w:val="28"/>
        </w:rPr>
        <w:t>о комплекса «Безопасный город». Н</w:t>
      </w:r>
      <w:r w:rsidRPr="00AC7797">
        <w:rPr>
          <w:rFonts w:ascii="Times New Roman" w:hAnsi="Times New Roman" w:cs="Times New Roman"/>
          <w:sz w:val="28"/>
          <w:szCs w:val="28"/>
        </w:rPr>
        <w:t>апример, посредством контроля в едином информационном пространстве в режиме реального времени обстановки, складывающейся в районах расположения ММПЛ</w:t>
      </w:r>
      <w:r w:rsidR="008A3763" w:rsidRPr="00AC7797">
        <w:rPr>
          <w:rFonts w:ascii="Times New Roman" w:hAnsi="Times New Roman" w:cs="Times New Roman"/>
          <w:sz w:val="28"/>
          <w:szCs w:val="28"/>
        </w:rPr>
        <w:t xml:space="preserve"> сотрудники правоохранительных органов, </w:t>
      </w:r>
      <w:proofErr w:type="gramStart"/>
      <w:r w:rsidR="008A3763" w:rsidRPr="00AC7797"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 w:rsidR="008A3763" w:rsidRPr="00AC7797">
        <w:rPr>
          <w:rFonts w:ascii="Times New Roman" w:hAnsi="Times New Roman" w:cs="Times New Roman"/>
          <w:sz w:val="28"/>
          <w:szCs w:val="28"/>
        </w:rPr>
        <w:t xml:space="preserve"> обеспечивающие физическую охрану ММПЛ могут максимально оперативно принять меры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3763" w:rsidRPr="00AC7797">
        <w:rPr>
          <w:rFonts w:ascii="Times New Roman" w:hAnsi="Times New Roman" w:cs="Times New Roman"/>
          <w:sz w:val="28"/>
          <w:szCs w:val="28"/>
        </w:rPr>
        <w:t>по предотвращению террористических актов</w:t>
      </w:r>
      <w:r w:rsidRPr="00AC7797">
        <w:rPr>
          <w:rFonts w:ascii="Times New Roman" w:hAnsi="Times New Roman" w:cs="Times New Roman"/>
          <w:sz w:val="28"/>
          <w:szCs w:val="28"/>
        </w:rPr>
        <w:t>. Требования носят общий характер в отношении вопросов оснащения ММПЛ средствами инженерной защиты и инженерно-техническими средствами охраны. Оснащение ММПЛ конкретными моделями средств охраны определяется в техническом задании на проектирование и на этапе выполнения строительно-монтажных работ, реконструкции и капитального ремонта</w:t>
      </w:r>
      <w:r w:rsidR="003B535E" w:rsidRPr="00AC7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видеонаблюдения с учетом количества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E4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устанавливаемых видеокамер и мест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размещения должна обеспечивать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видеонаблюдение за состоянием обстановки на всей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места массового пребывания людей, архивирование и</w:t>
      </w: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данных в течение 30 дней.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этой количество камер видеонаблюдения в ММПЛ здание администрации; Площадь перед кинотеатром «Октябрь», Парк Культуры </w:t>
      </w:r>
      <w:r w:rsidR="009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отдыха, в том числе площадь перед Большой сценой, Территор</w:t>
      </w:r>
      <w:r w:rsidR="001255CA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Тропы здоровья не соотве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тствует требованиям предъявляемым постановлением </w:t>
      </w:r>
      <w:r w:rsidR="009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 от 15.03.2015 г. Указанные ММПЛ являются собственностью муниципального образования, финансирование обеспечения АТЗ которого осуществляется бюджетом городского округа.</w:t>
      </w:r>
      <w:proofErr w:type="gramEnd"/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депутатов при формировании бюджета обратить внимание о необходимости дооборудования системами камер видеонаблюдения указанных объектов. </w:t>
      </w:r>
    </w:p>
    <w:p w:rsidR="008234BF" w:rsidRPr="00AC7797" w:rsidRDefault="006D4109" w:rsidP="00A86B0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Система оповещения в ММПЛ создаётся с учётом следующих документов: </w:t>
      </w:r>
      <w:r w:rsidRPr="00AC7797">
        <w:rPr>
          <w:rFonts w:ascii="Times New Roman" w:hAnsi="Times New Roman" w:cs="Times New Roman"/>
          <w:sz w:val="28"/>
          <w:szCs w:val="28"/>
        </w:rPr>
        <w:sym w:font="Symbol" w:char="F02D"/>
      </w:r>
      <w:r w:rsidRPr="00AC7797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13 ноября 2012 года № 1522 «О создании комплексной системы экстренного оповещения населения об угрозе возникновения или о возникновении чрезвычайных ситуаций»; СП 3.13130.2009. Свод правил. Системы противопожарной защиты. Система оповещения и управления эвакуацией людей при пожаре. Требования пожарной безопасности (утверждены приказом МЧС России </w:t>
      </w:r>
      <w:r w:rsidR="009B1188">
        <w:rPr>
          <w:rFonts w:ascii="Times New Roman" w:hAnsi="Times New Roman" w:cs="Times New Roman"/>
          <w:sz w:val="28"/>
          <w:szCs w:val="28"/>
        </w:rPr>
        <w:t xml:space="preserve">      </w:t>
      </w:r>
      <w:r w:rsidRPr="00AC7797">
        <w:rPr>
          <w:rFonts w:ascii="Times New Roman" w:hAnsi="Times New Roman" w:cs="Times New Roman"/>
          <w:sz w:val="28"/>
          <w:szCs w:val="28"/>
        </w:rPr>
        <w:t>от 25 марта 2009 года</w:t>
      </w:r>
      <w:r w:rsidR="00A86B09">
        <w:rPr>
          <w:rFonts w:ascii="Times New Roman" w:hAnsi="Times New Roman" w:cs="Times New Roman"/>
          <w:sz w:val="28"/>
          <w:szCs w:val="28"/>
        </w:rPr>
        <w:t xml:space="preserve"> </w:t>
      </w:r>
      <w:r w:rsidRPr="00AC7797">
        <w:rPr>
          <w:rFonts w:ascii="Times New Roman" w:hAnsi="Times New Roman" w:cs="Times New Roman"/>
          <w:sz w:val="28"/>
          <w:szCs w:val="28"/>
        </w:rPr>
        <w:t>№ 173);</w:t>
      </w:r>
    </w:p>
    <w:p w:rsidR="003B535E" w:rsidRPr="00AC7797" w:rsidRDefault="006D4109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Места установки информационных стендов (табло), содержащих схему эвакуации при возникновении чрезвычайных ситуаций, телефоны правообладателя соответствующего ММПЛ, аварийно-спасательных служб, правоохранительных органов и органов безопасности определяются комиссией. При этом следует учитывать, что они размещаются, как правило, в местах, не препятствующих передвижению людей, исходя из площади или </w:t>
      </w:r>
      <w:proofErr w:type="spellStart"/>
      <w:r w:rsidRPr="00AC7797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AC7797">
        <w:rPr>
          <w:rFonts w:ascii="Times New Roman" w:hAnsi="Times New Roman" w:cs="Times New Roman"/>
          <w:sz w:val="28"/>
          <w:szCs w:val="28"/>
        </w:rPr>
        <w:t xml:space="preserve"> протяжённости ММПЛ, на расстоянии, достаточном для получения экстренной информации.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обеспечению физической охраны ММПЛ привлекаются</w:t>
      </w:r>
      <w:r w:rsidR="00D25DBF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объединения и организации в порядке, установленном законодательством Российской Федерации.</w:t>
      </w:r>
    </w:p>
    <w:p w:rsidR="003B535E" w:rsidRPr="00AC7797" w:rsidRDefault="003B535E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эвакуации в ММПЛ </w:t>
      </w:r>
      <w:r w:rsidR="005803E4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проводимых проверок</w:t>
      </w: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 для перемещения людей и транспортных средств.</w:t>
      </w:r>
    </w:p>
    <w:p w:rsidR="00164EEA" w:rsidRPr="00AC7797" w:rsidRDefault="00164EEA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обеспечения работы система освещения ММПЛ применяются: </w:t>
      </w:r>
    </w:p>
    <w:p w:rsidR="00164EEA" w:rsidRPr="00AC7797" w:rsidRDefault="00164EEA" w:rsidP="00A86B0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ГОСТ </w:t>
      </w:r>
      <w:proofErr w:type="gramStart"/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>Р</w:t>
      </w:r>
      <w:proofErr w:type="gramEnd"/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56228-2014 Освещение искусственное. Термины </w:t>
      </w:r>
      <w:r w:rsidR="009B118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</w:t>
      </w:r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>и определения</w:t>
      </w:r>
      <w:r w:rsidR="00A86B09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164EEA" w:rsidRPr="00AC7797" w:rsidRDefault="00164EEA" w:rsidP="00A86B0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C7797">
        <w:rPr>
          <w:rFonts w:ascii="Times New Roman" w:hAnsi="Times New Roman" w:cs="Times New Roman"/>
          <w:color w:val="auto"/>
          <w:spacing w:val="2"/>
          <w:sz w:val="28"/>
          <w:szCs w:val="28"/>
        </w:rPr>
        <w:t>ГОСТ 24940-2016 Здания и сооружения. Методы измерения освещенности</w:t>
      </w:r>
      <w:r w:rsidR="00A86B09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164EEA" w:rsidRPr="00AC7797" w:rsidRDefault="00164EEA" w:rsidP="00A86B09">
      <w:pPr>
        <w:pStyle w:val="1"/>
        <w:pBdr>
          <w:bottom w:val="single" w:sz="6" w:space="7" w:color="EEEEEE"/>
        </w:pBdr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7797">
        <w:rPr>
          <w:rFonts w:ascii="Times New Roman" w:hAnsi="Times New Roman" w:cs="Times New Roman"/>
          <w:bCs/>
          <w:color w:val="auto"/>
          <w:sz w:val="28"/>
          <w:szCs w:val="28"/>
        </w:rPr>
        <w:t>СНиП 23-05-95 Естественное и искусственное освещение</w:t>
      </w:r>
      <w:r w:rsidR="00A86B0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81C6D" w:rsidRPr="00AC7797" w:rsidRDefault="00B81C6D" w:rsidP="00A86B0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антитеррористическая защищенность мест массового пребывания людей и социально-значимых объектов на территории городского округа город Нефтекамск соответс</w:t>
      </w:r>
      <w:r w:rsidR="00BD76B9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твует предъявляемым требованиям, антитеррористическая защищенность указанных объектов обеспечена в соответствии с </w:t>
      </w:r>
      <w:proofErr w:type="gramStart"/>
      <w:r w:rsidR="00BD76B9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  <w:r w:rsidR="00BD76B9" w:rsidRPr="00A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</w:t>
      </w:r>
      <w:r w:rsidR="00A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4BF" w:rsidRPr="00AC7797" w:rsidRDefault="008234BF" w:rsidP="0067034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BF" w:rsidRDefault="008234BF" w:rsidP="0067034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88" w:rsidRPr="00AC7797" w:rsidRDefault="009B1188" w:rsidP="0067034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6D" w:rsidRPr="00AC7797" w:rsidRDefault="00B81C6D" w:rsidP="000B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6386D" w:rsidRPr="00AC7797" w:rsidRDefault="0026386D" w:rsidP="000B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9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комиссии           </w:t>
      </w:r>
      <w:r w:rsidR="000B4266" w:rsidRPr="00AC77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1C6D" w:rsidRPr="00AC77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C7797">
        <w:rPr>
          <w:rFonts w:ascii="Times New Roman" w:hAnsi="Times New Roman" w:cs="Times New Roman"/>
          <w:sz w:val="28"/>
          <w:szCs w:val="28"/>
        </w:rPr>
        <w:t xml:space="preserve">           Б.А.</w:t>
      </w:r>
      <w:r w:rsidR="00D25DBF" w:rsidRPr="00AC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797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sectPr w:rsidR="0026386D" w:rsidRPr="00AC7797" w:rsidSect="009B1188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88" w:rsidRDefault="009B1188" w:rsidP="00D25DBF">
      <w:pPr>
        <w:spacing w:after="0" w:line="240" w:lineRule="auto"/>
      </w:pPr>
      <w:r>
        <w:separator/>
      </w:r>
    </w:p>
  </w:endnote>
  <w:endnote w:type="continuationSeparator" w:id="0">
    <w:p w:rsidR="009B1188" w:rsidRDefault="009B1188" w:rsidP="00D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88" w:rsidRDefault="009B1188" w:rsidP="00D25DBF">
      <w:pPr>
        <w:spacing w:after="0" w:line="240" w:lineRule="auto"/>
      </w:pPr>
      <w:r>
        <w:separator/>
      </w:r>
    </w:p>
  </w:footnote>
  <w:footnote w:type="continuationSeparator" w:id="0">
    <w:p w:rsidR="009B1188" w:rsidRDefault="009B1188" w:rsidP="00D2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218270"/>
      <w:docPartObj>
        <w:docPartGallery w:val="Page Numbers (Top of Page)"/>
        <w:docPartUnique/>
      </w:docPartObj>
    </w:sdtPr>
    <w:sdtContent>
      <w:p w:rsidR="009B1188" w:rsidRDefault="009B1188">
        <w:pPr>
          <w:pStyle w:val="a9"/>
          <w:jc w:val="center"/>
        </w:pPr>
        <w:fldSimple w:instr="PAGE   \* MERGEFORMAT">
          <w:r w:rsidR="00B1670A">
            <w:rPr>
              <w:noProof/>
            </w:rPr>
            <w:t>2</w:t>
          </w:r>
        </w:fldSimple>
      </w:p>
    </w:sdtContent>
  </w:sdt>
  <w:p w:rsidR="009B1188" w:rsidRDefault="009B11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D5A"/>
    <w:multiLevelType w:val="hybridMultilevel"/>
    <w:tmpl w:val="C5142C0C"/>
    <w:lvl w:ilvl="0" w:tplc="40D2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F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E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4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24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655E33"/>
    <w:multiLevelType w:val="hybridMultilevel"/>
    <w:tmpl w:val="28CC71C0"/>
    <w:lvl w:ilvl="0" w:tplc="652C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A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0C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2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F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A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4D0BDC"/>
    <w:multiLevelType w:val="hybridMultilevel"/>
    <w:tmpl w:val="282A4506"/>
    <w:lvl w:ilvl="0" w:tplc="73085A2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C6102"/>
    <w:multiLevelType w:val="hybridMultilevel"/>
    <w:tmpl w:val="BA062832"/>
    <w:lvl w:ilvl="0" w:tplc="7AEC0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8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C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0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8D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0E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6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244B26"/>
    <w:multiLevelType w:val="hybridMultilevel"/>
    <w:tmpl w:val="767CE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5E3BE5"/>
    <w:multiLevelType w:val="multilevel"/>
    <w:tmpl w:val="1A5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CC7661"/>
    <w:multiLevelType w:val="multilevel"/>
    <w:tmpl w:val="963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47C1"/>
    <w:rsid w:val="00003B98"/>
    <w:rsid w:val="00007661"/>
    <w:rsid w:val="00011473"/>
    <w:rsid w:val="00011A72"/>
    <w:rsid w:val="00011BFB"/>
    <w:rsid w:val="00017D84"/>
    <w:rsid w:val="00022D25"/>
    <w:rsid w:val="00023A02"/>
    <w:rsid w:val="0002492E"/>
    <w:rsid w:val="0003210D"/>
    <w:rsid w:val="000354EB"/>
    <w:rsid w:val="000515D6"/>
    <w:rsid w:val="00054DE9"/>
    <w:rsid w:val="00065136"/>
    <w:rsid w:val="00076D55"/>
    <w:rsid w:val="0008373A"/>
    <w:rsid w:val="00084F7F"/>
    <w:rsid w:val="000861A6"/>
    <w:rsid w:val="00087934"/>
    <w:rsid w:val="0009434E"/>
    <w:rsid w:val="00097278"/>
    <w:rsid w:val="000A08DB"/>
    <w:rsid w:val="000A1FF5"/>
    <w:rsid w:val="000A6628"/>
    <w:rsid w:val="000B1D11"/>
    <w:rsid w:val="000B20EC"/>
    <w:rsid w:val="000B3544"/>
    <w:rsid w:val="000B4266"/>
    <w:rsid w:val="000B59CD"/>
    <w:rsid w:val="000C03B2"/>
    <w:rsid w:val="000C3143"/>
    <w:rsid w:val="000C3862"/>
    <w:rsid w:val="000C76D9"/>
    <w:rsid w:val="000E012B"/>
    <w:rsid w:val="000E2BD7"/>
    <w:rsid w:val="000E2CE0"/>
    <w:rsid w:val="000F6A7C"/>
    <w:rsid w:val="001015D5"/>
    <w:rsid w:val="00106EC3"/>
    <w:rsid w:val="00113985"/>
    <w:rsid w:val="00116416"/>
    <w:rsid w:val="00116D7B"/>
    <w:rsid w:val="00120C33"/>
    <w:rsid w:val="00121D5B"/>
    <w:rsid w:val="00123124"/>
    <w:rsid w:val="001255CA"/>
    <w:rsid w:val="0013461B"/>
    <w:rsid w:val="001418AA"/>
    <w:rsid w:val="001437B9"/>
    <w:rsid w:val="001519D2"/>
    <w:rsid w:val="0015436C"/>
    <w:rsid w:val="00157603"/>
    <w:rsid w:val="001600F1"/>
    <w:rsid w:val="00160629"/>
    <w:rsid w:val="00164EEA"/>
    <w:rsid w:val="001708AC"/>
    <w:rsid w:val="0017732D"/>
    <w:rsid w:val="001839C8"/>
    <w:rsid w:val="00186E29"/>
    <w:rsid w:val="00187C63"/>
    <w:rsid w:val="001A53AF"/>
    <w:rsid w:val="001C09A7"/>
    <w:rsid w:val="001F1D26"/>
    <w:rsid w:val="001F5E5B"/>
    <w:rsid w:val="001F666E"/>
    <w:rsid w:val="002028DF"/>
    <w:rsid w:val="00213CDC"/>
    <w:rsid w:val="00234073"/>
    <w:rsid w:val="00237BB4"/>
    <w:rsid w:val="00242EAD"/>
    <w:rsid w:val="00245B8F"/>
    <w:rsid w:val="00252DD8"/>
    <w:rsid w:val="00263825"/>
    <w:rsid w:val="0026386D"/>
    <w:rsid w:val="00264E12"/>
    <w:rsid w:val="00267076"/>
    <w:rsid w:val="002670C3"/>
    <w:rsid w:val="00267A1A"/>
    <w:rsid w:val="00270E92"/>
    <w:rsid w:val="002758AB"/>
    <w:rsid w:val="00275D4B"/>
    <w:rsid w:val="00282F8E"/>
    <w:rsid w:val="0028440A"/>
    <w:rsid w:val="002919D1"/>
    <w:rsid w:val="00292C06"/>
    <w:rsid w:val="00292CED"/>
    <w:rsid w:val="00293870"/>
    <w:rsid w:val="00295D40"/>
    <w:rsid w:val="00296069"/>
    <w:rsid w:val="00297675"/>
    <w:rsid w:val="002A1157"/>
    <w:rsid w:val="002B2402"/>
    <w:rsid w:val="002B3406"/>
    <w:rsid w:val="002B6348"/>
    <w:rsid w:val="002B64CD"/>
    <w:rsid w:val="002B6A20"/>
    <w:rsid w:val="002C3476"/>
    <w:rsid w:val="002C4D7E"/>
    <w:rsid w:val="002C5A49"/>
    <w:rsid w:val="002C626F"/>
    <w:rsid w:val="002D2130"/>
    <w:rsid w:val="002D3AB5"/>
    <w:rsid w:val="002D7F4D"/>
    <w:rsid w:val="002E4466"/>
    <w:rsid w:val="002F3C28"/>
    <w:rsid w:val="002F5C42"/>
    <w:rsid w:val="003004CF"/>
    <w:rsid w:val="00306115"/>
    <w:rsid w:val="00306253"/>
    <w:rsid w:val="00307C5A"/>
    <w:rsid w:val="003149CF"/>
    <w:rsid w:val="00320F2E"/>
    <w:rsid w:val="003242FA"/>
    <w:rsid w:val="00326531"/>
    <w:rsid w:val="00330948"/>
    <w:rsid w:val="003311D4"/>
    <w:rsid w:val="003346B1"/>
    <w:rsid w:val="003352BD"/>
    <w:rsid w:val="003450E7"/>
    <w:rsid w:val="00347C23"/>
    <w:rsid w:val="00350AFB"/>
    <w:rsid w:val="00361842"/>
    <w:rsid w:val="00366E72"/>
    <w:rsid w:val="00371AA1"/>
    <w:rsid w:val="0037451B"/>
    <w:rsid w:val="00387793"/>
    <w:rsid w:val="003B15FE"/>
    <w:rsid w:val="003B42DB"/>
    <w:rsid w:val="003B535E"/>
    <w:rsid w:val="003D4FE1"/>
    <w:rsid w:val="003E1DA9"/>
    <w:rsid w:val="003E456C"/>
    <w:rsid w:val="003E5D05"/>
    <w:rsid w:val="003E6C54"/>
    <w:rsid w:val="003F065A"/>
    <w:rsid w:val="003F0DB5"/>
    <w:rsid w:val="003F2571"/>
    <w:rsid w:val="00401B50"/>
    <w:rsid w:val="004047C1"/>
    <w:rsid w:val="004164AA"/>
    <w:rsid w:val="00421061"/>
    <w:rsid w:val="004258E7"/>
    <w:rsid w:val="004275E3"/>
    <w:rsid w:val="00436860"/>
    <w:rsid w:val="00440CFB"/>
    <w:rsid w:val="00441D50"/>
    <w:rsid w:val="0044511B"/>
    <w:rsid w:val="00452A50"/>
    <w:rsid w:val="00460948"/>
    <w:rsid w:val="00464058"/>
    <w:rsid w:val="00470B37"/>
    <w:rsid w:val="0047313F"/>
    <w:rsid w:val="004763B7"/>
    <w:rsid w:val="00477F19"/>
    <w:rsid w:val="00482D42"/>
    <w:rsid w:val="004908B4"/>
    <w:rsid w:val="00496628"/>
    <w:rsid w:val="004A22FA"/>
    <w:rsid w:val="004A5CC7"/>
    <w:rsid w:val="004C3592"/>
    <w:rsid w:val="004D673B"/>
    <w:rsid w:val="004E14FA"/>
    <w:rsid w:val="004E2869"/>
    <w:rsid w:val="004F2B64"/>
    <w:rsid w:val="004F5A8A"/>
    <w:rsid w:val="00500F81"/>
    <w:rsid w:val="0050344C"/>
    <w:rsid w:val="00507049"/>
    <w:rsid w:val="00512BFE"/>
    <w:rsid w:val="0051594D"/>
    <w:rsid w:val="00530EA4"/>
    <w:rsid w:val="005463E0"/>
    <w:rsid w:val="00553080"/>
    <w:rsid w:val="00553E2C"/>
    <w:rsid w:val="00557CB5"/>
    <w:rsid w:val="00561DEE"/>
    <w:rsid w:val="0056395F"/>
    <w:rsid w:val="0057398D"/>
    <w:rsid w:val="00577444"/>
    <w:rsid w:val="005803E4"/>
    <w:rsid w:val="00593838"/>
    <w:rsid w:val="005A0CCB"/>
    <w:rsid w:val="005A1B27"/>
    <w:rsid w:val="005A1BF1"/>
    <w:rsid w:val="005A29BC"/>
    <w:rsid w:val="005B4E86"/>
    <w:rsid w:val="005B58A8"/>
    <w:rsid w:val="005C5482"/>
    <w:rsid w:val="005D5497"/>
    <w:rsid w:val="005E1F11"/>
    <w:rsid w:val="005E45C6"/>
    <w:rsid w:val="005E5B98"/>
    <w:rsid w:val="006031D2"/>
    <w:rsid w:val="006061AD"/>
    <w:rsid w:val="00614231"/>
    <w:rsid w:val="0062479B"/>
    <w:rsid w:val="00625290"/>
    <w:rsid w:val="0062658D"/>
    <w:rsid w:val="00645D88"/>
    <w:rsid w:val="00650018"/>
    <w:rsid w:val="00652D93"/>
    <w:rsid w:val="00652DD2"/>
    <w:rsid w:val="0065530C"/>
    <w:rsid w:val="00656323"/>
    <w:rsid w:val="00670341"/>
    <w:rsid w:val="00670E19"/>
    <w:rsid w:val="006723D8"/>
    <w:rsid w:val="0067249C"/>
    <w:rsid w:val="006724F1"/>
    <w:rsid w:val="00685875"/>
    <w:rsid w:val="00690D7B"/>
    <w:rsid w:val="006A1F07"/>
    <w:rsid w:val="006A3B5B"/>
    <w:rsid w:val="006A41CC"/>
    <w:rsid w:val="006C15CA"/>
    <w:rsid w:val="006D4109"/>
    <w:rsid w:val="006D5FA3"/>
    <w:rsid w:val="006E2F2A"/>
    <w:rsid w:val="006E392B"/>
    <w:rsid w:val="006F5E81"/>
    <w:rsid w:val="00702E46"/>
    <w:rsid w:val="00703DAA"/>
    <w:rsid w:val="00710298"/>
    <w:rsid w:val="00716626"/>
    <w:rsid w:val="0071719C"/>
    <w:rsid w:val="0072201C"/>
    <w:rsid w:val="00725595"/>
    <w:rsid w:val="00727070"/>
    <w:rsid w:val="00733D2E"/>
    <w:rsid w:val="0073503E"/>
    <w:rsid w:val="0074539F"/>
    <w:rsid w:val="00746A65"/>
    <w:rsid w:val="00746B53"/>
    <w:rsid w:val="00754168"/>
    <w:rsid w:val="00756E5E"/>
    <w:rsid w:val="00783CB6"/>
    <w:rsid w:val="007918E7"/>
    <w:rsid w:val="00791E89"/>
    <w:rsid w:val="007A14AD"/>
    <w:rsid w:val="007A417A"/>
    <w:rsid w:val="007A72A7"/>
    <w:rsid w:val="007B1A96"/>
    <w:rsid w:val="007B78EC"/>
    <w:rsid w:val="007C3351"/>
    <w:rsid w:val="007D070C"/>
    <w:rsid w:val="007D6A86"/>
    <w:rsid w:val="007E236B"/>
    <w:rsid w:val="007E43F1"/>
    <w:rsid w:val="007E6966"/>
    <w:rsid w:val="007F196D"/>
    <w:rsid w:val="007F250B"/>
    <w:rsid w:val="007F3730"/>
    <w:rsid w:val="007F43DA"/>
    <w:rsid w:val="007F4E8C"/>
    <w:rsid w:val="008029AC"/>
    <w:rsid w:val="0081515F"/>
    <w:rsid w:val="00821954"/>
    <w:rsid w:val="008234BF"/>
    <w:rsid w:val="0082372F"/>
    <w:rsid w:val="0083081C"/>
    <w:rsid w:val="00832FDF"/>
    <w:rsid w:val="00844886"/>
    <w:rsid w:val="008527AC"/>
    <w:rsid w:val="00861521"/>
    <w:rsid w:val="008752AA"/>
    <w:rsid w:val="00876987"/>
    <w:rsid w:val="0087742A"/>
    <w:rsid w:val="00884121"/>
    <w:rsid w:val="00885A67"/>
    <w:rsid w:val="00890EEA"/>
    <w:rsid w:val="008A25D1"/>
    <w:rsid w:val="008A3763"/>
    <w:rsid w:val="008B332E"/>
    <w:rsid w:val="008D0485"/>
    <w:rsid w:val="008E1CF1"/>
    <w:rsid w:val="008F025E"/>
    <w:rsid w:val="0090683C"/>
    <w:rsid w:val="00920D24"/>
    <w:rsid w:val="009238CA"/>
    <w:rsid w:val="00923C88"/>
    <w:rsid w:val="00930952"/>
    <w:rsid w:val="00933395"/>
    <w:rsid w:val="00933F99"/>
    <w:rsid w:val="00961478"/>
    <w:rsid w:val="00963C7E"/>
    <w:rsid w:val="0096619D"/>
    <w:rsid w:val="00972502"/>
    <w:rsid w:val="00977054"/>
    <w:rsid w:val="00984D83"/>
    <w:rsid w:val="009A0CBC"/>
    <w:rsid w:val="009A2D82"/>
    <w:rsid w:val="009A7695"/>
    <w:rsid w:val="009B1188"/>
    <w:rsid w:val="009B4986"/>
    <w:rsid w:val="009D04B2"/>
    <w:rsid w:val="009D0EA4"/>
    <w:rsid w:val="009D27D1"/>
    <w:rsid w:val="009D6334"/>
    <w:rsid w:val="009E1D0E"/>
    <w:rsid w:val="00A04030"/>
    <w:rsid w:val="00A047A6"/>
    <w:rsid w:val="00A0740C"/>
    <w:rsid w:val="00A11862"/>
    <w:rsid w:val="00A16CDA"/>
    <w:rsid w:val="00A31501"/>
    <w:rsid w:val="00A45214"/>
    <w:rsid w:val="00A4640A"/>
    <w:rsid w:val="00A62941"/>
    <w:rsid w:val="00A7004A"/>
    <w:rsid w:val="00A74079"/>
    <w:rsid w:val="00A746EC"/>
    <w:rsid w:val="00A80770"/>
    <w:rsid w:val="00A836B6"/>
    <w:rsid w:val="00A86B09"/>
    <w:rsid w:val="00AA0E5F"/>
    <w:rsid w:val="00AB3CA4"/>
    <w:rsid w:val="00AB5F37"/>
    <w:rsid w:val="00AC2974"/>
    <w:rsid w:val="00AC3707"/>
    <w:rsid w:val="00AC55D7"/>
    <w:rsid w:val="00AC7797"/>
    <w:rsid w:val="00AC7FF2"/>
    <w:rsid w:val="00AE2555"/>
    <w:rsid w:val="00AE456F"/>
    <w:rsid w:val="00AE6292"/>
    <w:rsid w:val="00AF3205"/>
    <w:rsid w:val="00B011FF"/>
    <w:rsid w:val="00B10FCD"/>
    <w:rsid w:val="00B12B88"/>
    <w:rsid w:val="00B12E6B"/>
    <w:rsid w:val="00B1670A"/>
    <w:rsid w:val="00B1702E"/>
    <w:rsid w:val="00B24C33"/>
    <w:rsid w:val="00B30C78"/>
    <w:rsid w:val="00B550DD"/>
    <w:rsid w:val="00B65890"/>
    <w:rsid w:val="00B67396"/>
    <w:rsid w:val="00B72C35"/>
    <w:rsid w:val="00B7354F"/>
    <w:rsid w:val="00B75C0D"/>
    <w:rsid w:val="00B76F5B"/>
    <w:rsid w:val="00B81C6D"/>
    <w:rsid w:val="00B82578"/>
    <w:rsid w:val="00B836E0"/>
    <w:rsid w:val="00B86148"/>
    <w:rsid w:val="00B9419D"/>
    <w:rsid w:val="00B963F1"/>
    <w:rsid w:val="00BA2FA3"/>
    <w:rsid w:val="00BA6A82"/>
    <w:rsid w:val="00BC0022"/>
    <w:rsid w:val="00BC28B6"/>
    <w:rsid w:val="00BC2A29"/>
    <w:rsid w:val="00BD1361"/>
    <w:rsid w:val="00BD13F0"/>
    <w:rsid w:val="00BD6927"/>
    <w:rsid w:val="00BD76B9"/>
    <w:rsid w:val="00BE5861"/>
    <w:rsid w:val="00BF3833"/>
    <w:rsid w:val="00BF4BF3"/>
    <w:rsid w:val="00C0134D"/>
    <w:rsid w:val="00C04333"/>
    <w:rsid w:val="00C04EE2"/>
    <w:rsid w:val="00C0613A"/>
    <w:rsid w:val="00C063ED"/>
    <w:rsid w:val="00C11A1C"/>
    <w:rsid w:val="00C34130"/>
    <w:rsid w:val="00C422FC"/>
    <w:rsid w:val="00C43E9E"/>
    <w:rsid w:val="00C467DF"/>
    <w:rsid w:val="00C501BE"/>
    <w:rsid w:val="00C51884"/>
    <w:rsid w:val="00C561BB"/>
    <w:rsid w:val="00C60CFE"/>
    <w:rsid w:val="00C644F9"/>
    <w:rsid w:val="00C67830"/>
    <w:rsid w:val="00C71A85"/>
    <w:rsid w:val="00C90E4A"/>
    <w:rsid w:val="00C97596"/>
    <w:rsid w:val="00CA3A9E"/>
    <w:rsid w:val="00CA679C"/>
    <w:rsid w:val="00CB04B5"/>
    <w:rsid w:val="00CB3E78"/>
    <w:rsid w:val="00CC15C3"/>
    <w:rsid w:val="00CC1CE4"/>
    <w:rsid w:val="00CC3987"/>
    <w:rsid w:val="00CC45B0"/>
    <w:rsid w:val="00CC55F6"/>
    <w:rsid w:val="00CD30AA"/>
    <w:rsid w:val="00CD39BD"/>
    <w:rsid w:val="00CD538F"/>
    <w:rsid w:val="00CE3FA2"/>
    <w:rsid w:val="00CE5E63"/>
    <w:rsid w:val="00CF1E11"/>
    <w:rsid w:val="00CF70DD"/>
    <w:rsid w:val="00D00BA7"/>
    <w:rsid w:val="00D1426D"/>
    <w:rsid w:val="00D20E1A"/>
    <w:rsid w:val="00D219CD"/>
    <w:rsid w:val="00D25DBF"/>
    <w:rsid w:val="00D320A5"/>
    <w:rsid w:val="00D4093B"/>
    <w:rsid w:val="00D61FEB"/>
    <w:rsid w:val="00D74657"/>
    <w:rsid w:val="00D74B18"/>
    <w:rsid w:val="00D750D9"/>
    <w:rsid w:val="00D800F7"/>
    <w:rsid w:val="00D924E2"/>
    <w:rsid w:val="00D95046"/>
    <w:rsid w:val="00D95E02"/>
    <w:rsid w:val="00D96AE2"/>
    <w:rsid w:val="00DB1390"/>
    <w:rsid w:val="00DC1D4E"/>
    <w:rsid w:val="00DD0E71"/>
    <w:rsid w:val="00DD48FF"/>
    <w:rsid w:val="00DE0D20"/>
    <w:rsid w:val="00DE6E4C"/>
    <w:rsid w:val="00DF281F"/>
    <w:rsid w:val="00E07C8F"/>
    <w:rsid w:val="00E11FC4"/>
    <w:rsid w:val="00E13963"/>
    <w:rsid w:val="00E167F5"/>
    <w:rsid w:val="00E177DE"/>
    <w:rsid w:val="00E31969"/>
    <w:rsid w:val="00E425E6"/>
    <w:rsid w:val="00E436C5"/>
    <w:rsid w:val="00E4550C"/>
    <w:rsid w:val="00E45EBE"/>
    <w:rsid w:val="00E520BB"/>
    <w:rsid w:val="00E52513"/>
    <w:rsid w:val="00E54646"/>
    <w:rsid w:val="00E6503C"/>
    <w:rsid w:val="00E665AE"/>
    <w:rsid w:val="00E67232"/>
    <w:rsid w:val="00E70C6B"/>
    <w:rsid w:val="00E81298"/>
    <w:rsid w:val="00E816ED"/>
    <w:rsid w:val="00E865D6"/>
    <w:rsid w:val="00EA0952"/>
    <w:rsid w:val="00EB5C45"/>
    <w:rsid w:val="00EB7A49"/>
    <w:rsid w:val="00EC7B9B"/>
    <w:rsid w:val="00ED2EB2"/>
    <w:rsid w:val="00ED53F9"/>
    <w:rsid w:val="00ED6E2B"/>
    <w:rsid w:val="00EE0FE9"/>
    <w:rsid w:val="00EE3AB9"/>
    <w:rsid w:val="00EE725A"/>
    <w:rsid w:val="00EF0F58"/>
    <w:rsid w:val="00EF1F69"/>
    <w:rsid w:val="00EF3563"/>
    <w:rsid w:val="00F01084"/>
    <w:rsid w:val="00F04D06"/>
    <w:rsid w:val="00F05C73"/>
    <w:rsid w:val="00F11B16"/>
    <w:rsid w:val="00F1211A"/>
    <w:rsid w:val="00F15F98"/>
    <w:rsid w:val="00F25CC9"/>
    <w:rsid w:val="00F35BBE"/>
    <w:rsid w:val="00F41038"/>
    <w:rsid w:val="00F47CBA"/>
    <w:rsid w:val="00F5230C"/>
    <w:rsid w:val="00F531E1"/>
    <w:rsid w:val="00F534D1"/>
    <w:rsid w:val="00F54062"/>
    <w:rsid w:val="00F55506"/>
    <w:rsid w:val="00F65849"/>
    <w:rsid w:val="00F70775"/>
    <w:rsid w:val="00F708ED"/>
    <w:rsid w:val="00F82476"/>
    <w:rsid w:val="00F83A75"/>
    <w:rsid w:val="00F86A0F"/>
    <w:rsid w:val="00F8710B"/>
    <w:rsid w:val="00F9108B"/>
    <w:rsid w:val="00F92433"/>
    <w:rsid w:val="00FB10E0"/>
    <w:rsid w:val="00FB2DD8"/>
    <w:rsid w:val="00FB327F"/>
    <w:rsid w:val="00FC487D"/>
    <w:rsid w:val="00FC7C72"/>
    <w:rsid w:val="00FD0300"/>
    <w:rsid w:val="00FD3559"/>
    <w:rsid w:val="00FE3AA9"/>
    <w:rsid w:val="00FE7FDB"/>
    <w:rsid w:val="00FF1838"/>
    <w:rsid w:val="00FF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1"/>
  </w:style>
  <w:style w:type="paragraph" w:styleId="1">
    <w:name w:val="heading 1"/>
    <w:basedOn w:val="a"/>
    <w:next w:val="a"/>
    <w:link w:val="10"/>
    <w:uiPriority w:val="9"/>
    <w:qFormat/>
    <w:rsid w:val="00125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62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E6B"/>
    <w:rPr>
      <w:color w:val="0000FF" w:themeColor="hyperlink"/>
      <w:u w:val="single"/>
    </w:rPr>
  </w:style>
  <w:style w:type="paragraph" w:customStyle="1" w:styleId="jui">
    <w:name w:val="jui"/>
    <w:basedOn w:val="a"/>
    <w:rsid w:val="00B12E6B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62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6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C0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A3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37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A3763"/>
  </w:style>
  <w:style w:type="character" w:styleId="a8">
    <w:name w:val="Strong"/>
    <w:basedOn w:val="a0"/>
    <w:uiPriority w:val="22"/>
    <w:qFormat/>
    <w:rsid w:val="00275D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55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5DBF"/>
  </w:style>
  <w:style w:type="paragraph" w:styleId="ab">
    <w:name w:val="footer"/>
    <w:basedOn w:val="a"/>
    <w:link w:val="ac"/>
    <w:uiPriority w:val="99"/>
    <w:unhideWhenUsed/>
    <w:rsid w:val="00D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393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351C-4D83-446A-BFC8-7A20C2E7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 Правительства РФ от 2 августа 2019 г. № 1006 "Об утверждении требо</vt:lpstr>
      <vt:lpstr>ГОСТ Р 56228-2014 Освещение искусственное. Термины                       и опред</vt:lpstr>
      <vt:lpstr>ГОСТ 24940-2016 Здания и сооружения. Методы измерения освещенности;</vt:lpstr>
      <vt:lpstr>СНиП 23-05-95 Естественное и искусственное освещение.</vt:lpstr>
    </vt:vector>
  </TitlesOfParts>
  <Company>SPecialiST RePack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2020-04-15T11:59:00Z</cp:lastPrinted>
  <dcterms:created xsi:type="dcterms:W3CDTF">2019-07-03T06:22:00Z</dcterms:created>
  <dcterms:modified xsi:type="dcterms:W3CDTF">2020-04-20T07:36:00Z</dcterms:modified>
</cp:coreProperties>
</file>